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pPr>
      <w:r w:rsidDel="00000000" w:rsidR="00000000" w:rsidRPr="00000000">
        <w:rPr/>
        <w:drawing>
          <wp:inline distB="0" distT="0" distL="0" distR="0">
            <wp:extent cx="2880360" cy="1218107"/>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80360" cy="121810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pStyle w:val="Title"/>
        <w:rPr>
          <w:sz w:val="48"/>
          <w:szCs w:val="48"/>
        </w:rPr>
      </w:pPr>
      <w:r w:rsidDel="00000000" w:rsidR="00000000" w:rsidRPr="00000000">
        <w:rPr>
          <w:rFonts w:ascii="Tahoma" w:cs="Tahoma" w:eastAsia="Tahoma" w:hAnsi="Tahoma"/>
          <w:sz w:val="48"/>
          <w:szCs w:val="48"/>
          <w:rtl w:val="0"/>
        </w:rPr>
        <w:t xml:space="preserve">CREATION OF MODELS OF AGREEMENT</w:t>
      </w:r>
      <w:r w:rsidDel="00000000" w:rsidR="00000000" w:rsidRPr="00000000">
        <w:rPr>
          <w:rtl w:val="0"/>
        </w:rPr>
      </w:r>
    </w:p>
    <w:p w:rsidR="00000000" w:rsidDel="00000000" w:rsidP="00000000" w:rsidRDefault="00000000" w:rsidRPr="00000000" w14:paraId="00000004">
      <w:pPr>
        <w:spacing w:after="260" w:lineRule="auto"/>
        <w:jc w:val="left"/>
        <w:rPr>
          <w:b w:val="1"/>
          <w:bCs w:val="1"/>
          <w:color w:val="ff9900"/>
          <w:sz w:val="24"/>
          <w:szCs w:val="24"/>
        </w:rPr>
      </w:pPr>
      <w:r w:rsidDel="00000000" w:rsidR="00000000" w:rsidRPr="00000000">
        <w:rPr>
          <w:color w:val="5d6970"/>
          <w:sz w:val="23"/>
          <w:szCs w:val="23"/>
          <w:rtl w:val="0"/>
        </w:rPr>
        <w:t xml:space="preserve">From a cooperation opportunity to an arrangement on re-use of waste</w:t>
      </w:r>
      <w:r w:rsidDel="00000000" w:rsidR="00000000" w:rsidRPr="00000000">
        <w:rPr>
          <w:rtl w:val="0"/>
        </w:rPr>
      </w:r>
    </w:p>
    <w:p w:rsidR="00000000" w:rsidDel="00000000" w:rsidP="00000000" w:rsidRDefault="00000000" w:rsidRPr="00000000" w14:paraId="00000005">
      <w:pPr>
        <w:spacing w:after="60" w:lineRule="auto"/>
        <w:jc w:val="left"/>
        <w:rPr>
          <w:color w:val="5d6970"/>
          <w:sz w:val="23"/>
          <w:szCs w:val="23"/>
        </w:rPr>
      </w:pPr>
      <w:r w:rsidDel="00000000" w:rsidR="00000000" w:rsidRPr="00000000">
        <w:rPr>
          <w:b w:val="1"/>
          <w:bCs w:val="1"/>
          <w:color w:val="ff9900"/>
          <w:sz w:val="24"/>
          <w:szCs w:val="24"/>
          <w:rtl w:val="0"/>
        </w:rPr>
        <w:t xml:space="preserve">Replication Guideline </w:t>
      </w:r>
      <w:r w:rsidDel="00000000" w:rsidR="00000000" w:rsidRPr="00000000">
        <w:rPr>
          <w:rtl w:val="0"/>
        </w:rPr>
      </w:r>
    </w:p>
    <w:p w:rsidR="00000000" w:rsidDel="00000000" w:rsidP="00000000" w:rsidRDefault="00000000" w:rsidRPr="00000000" w14:paraId="00000006">
      <w:pPr>
        <w:spacing w:after="160" w:lineRule="auto"/>
        <w:jc w:val="center"/>
        <w:rPr/>
      </w:pPr>
      <w:r w:rsidDel="00000000" w:rsidR="00000000" w:rsidRPr="00000000">
        <w:rPr/>
        <w:drawing>
          <wp:inline distB="0" distT="0" distL="0" distR="0">
            <wp:extent cx="3794760" cy="5692140"/>
            <wp:effectExtent b="0" l="0" r="0" t="0"/>
            <wp:docPr id="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794760" cy="5692140"/>
                    </a:xfrm>
                    <a:prstGeom prst="rect"/>
                    <a:ln/>
                  </pic:spPr>
                </pic:pic>
              </a:graphicData>
            </a:graphic>
          </wp:inline>
        </w:drawing>
      </w:r>
      <w:r w:rsidDel="00000000" w:rsidR="00000000" w:rsidRPr="00000000">
        <w:rPr>
          <w:rtl w:val="0"/>
        </w:rPr>
      </w:r>
    </w:p>
    <w:tbl>
      <w:tblPr>
        <w:tblStyle w:val="Table1"/>
        <w:tblW w:w="1011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8"/>
        <w:tblGridChange w:id="0">
          <w:tblGrid>
            <w:gridCol w:w="10118"/>
          </w:tblGrid>
        </w:tblGridChange>
      </w:tblGrid>
      <w:tr>
        <w:trPr>
          <w:cantSplit w:val="0"/>
          <w:trHeight w:val="864"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7">
            <w:pPr>
              <w:spacing w:after="0" w:lineRule="auto"/>
              <w:jc w:val="center"/>
              <w:rPr/>
            </w:pPr>
            <w:r w:rsidDel="00000000" w:rsidR="00000000" w:rsidRPr="00000000">
              <w:rPr/>
              <w:drawing>
                <wp:inline distB="114300" distT="114300" distL="114300" distR="114300">
                  <wp:extent cx="6798579" cy="802822"/>
                  <wp:effectExtent b="0" l="0" r="0" t="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798579" cy="80282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8">
      <w:pPr>
        <w:rPr/>
      </w:pPr>
      <w:r w:rsidDel="00000000" w:rsidR="00000000" w:rsidRPr="00000000">
        <w:rPr>
          <w:rtl w:val="0"/>
        </w:rPr>
      </w:r>
    </w:p>
    <w:tbl>
      <w:tblPr>
        <w:tblStyle w:val="Table2"/>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09">
            <w:pPr>
              <w:rPr/>
            </w:pPr>
            <w:r w:rsidDel="00000000" w:rsidR="00000000" w:rsidRPr="00000000">
              <w:rPr>
                <w:b w:val="1"/>
                <w:bCs w:val="1"/>
                <w:color w:val="ffffff"/>
                <w:sz w:val="26"/>
                <w:szCs w:val="26"/>
                <w:rtl w:val="0"/>
              </w:rPr>
              <w:t xml:space="preserve">FOREWORD</w:t>
            </w:r>
            <w:r w:rsidDel="00000000" w:rsidR="00000000" w:rsidRPr="00000000">
              <w:rPr>
                <w:rtl w:val="0"/>
              </w:rPr>
            </w:r>
          </w:p>
        </w:tc>
      </w:tr>
    </w:tbl>
    <w:p w:rsidR="00000000" w:rsidDel="00000000" w:rsidP="00000000" w:rsidRDefault="00000000" w:rsidRPr="00000000" w14:paraId="0000000A">
      <w:pPr>
        <w:pStyle w:val="Heading2"/>
        <w:spacing w:after="40" w:before="80" w:lineRule="auto"/>
        <w:rPr/>
      </w:pPr>
      <w:r w:rsidDel="00000000" w:rsidR="00000000" w:rsidRPr="00000000">
        <w:rPr>
          <w:rFonts w:ascii="Tahoma" w:cs="Tahoma" w:eastAsia="Tahoma" w:hAnsi="Tahoma"/>
          <w:sz w:val="21"/>
          <w:szCs w:val="21"/>
          <w:rtl w:val="0"/>
        </w:rPr>
        <w:t xml:space="preserve">Foreword / Introduction</w:t>
      </w:r>
      <w:r w:rsidDel="00000000" w:rsidR="00000000" w:rsidRPr="00000000">
        <w:rPr>
          <w:rtl w:val="0"/>
        </w:rPr>
      </w:r>
    </w:p>
    <w:p w:rsidR="00000000" w:rsidDel="00000000" w:rsidP="00000000" w:rsidRDefault="00000000" w:rsidRPr="00000000" w14:paraId="0000000B">
      <w:pPr>
        <w:spacing w:after="40" w:line="240" w:lineRule="auto"/>
        <w:rPr/>
      </w:pPr>
      <w:r w:rsidDel="00000000" w:rsidR="00000000" w:rsidRPr="00000000">
        <w:rPr>
          <w:color w:val="123c56"/>
          <w:sz w:val="15"/>
          <w:szCs w:val="15"/>
          <w:rtl w:val="0"/>
        </w:rPr>
        <w:t xml:space="preserve">SYMCRAFT – Creative craft for industrial symbiosis in circular economies – builds bridges between industrial material providers, crafts, designers and intermediary organisations. Eleven partners from eight countries and nine regions implemented three linked pilots that move from reuse opportunities through business models to structured cooperation.</w:t>
      </w:r>
      <w:r w:rsidDel="00000000" w:rsidR="00000000" w:rsidRPr="00000000">
        <w:rPr>
          <w:rtl w:val="0"/>
        </w:rPr>
      </w:r>
    </w:p>
    <w:p w:rsidR="00000000" w:rsidDel="00000000" w:rsidP="00000000" w:rsidRDefault="00000000" w:rsidRPr="00000000" w14:paraId="0000000C">
      <w:pPr>
        <w:spacing w:after="60" w:line="240" w:lineRule="auto"/>
        <w:rPr/>
      </w:pPr>
      <w:r w:rsidDel="00000000" w:rsidR="00000000" w:rsidRPr="00000000">
        <w:rPr>
          <w:color w:val="1d272c"/>
          <w:sz w:val="14"/>
          <w:szCs w:val="14"/>
          <w:rtl w:val="0"/>
        </w:rPr>
        <w:t xml:space="preserve">Pilot Action 3 translated the previous pilot experience into practical cooperation instruments for industry and handicraft actors. It produced three sector-specific Cooperation Framework Models: Agro-food, Textile, and Wood &amp; Furniture. These are adaptable framework models and should not be described automatically as three signed contracts. Each model helps the parties clarify the material stream, intended use, transfer point, roles, logistics, costs, quality criteria, legal and safety questions, liability, intellectual property and fallback arrangements. Practical annexes support material specification, delivery checks, problem handling and evidence retention. Partner feedback favoured a modular and initially non-binding approach, followed by a small test batch and formalisation only when the case is sufficiently mature. Solution 3 converts this experience into a six-step pathway from selecting the case to an adapted or signed cooperation arrangement.</w:t>
      </w:r>
      <w:r w:rsidDel="00000000" w:rsidR="00000000" w:rsidRPr="00000000">
        <w:rPr>
          <w:rtl w:val="0"/>
        </w:rPr>
      </w:r>
    </w:p>
    <w:tbl>
      <w:tblPr>
        <w:tblStyle w:val="Table3"/>
        <w:tblW w:w="10224.0" w:type="dxa"/>
        <w:jc w:val="center"/>
        <w:tblBorders>
          <w:top w:color="c7d7d9" w:space="0" w:sz="6" w:val="single"/>
          <w:left w:color="c7d7d9" w:space="0" w:sz="6" w:val="single"/>
          <w:bottom w:color="c7d7d9" w:space="0" w:sz="6" w:val="single"/>
          <w:right w:color="c7d7d9" w:space="0" w:sz="6" w:val="single"/>
          <w:insideH w:color="c7d7d9" w:space="0" w:sz="6" w:val="single"/>
          <w:insideV w:color="c7d7d9" w:space="0" w:sz="6" w:val="single"/>
        </w:tblBorders>
        <w:tblLayout w:type="fixed"/>
        <w:tblLook w:val="0400"/>
      </w:tblPr>
      <w:tblGrid>
        <w:gridCol w:w="2520"/>
        <w:gridCol w:w="2520"/>
        <w:gridCol w:w="2520"/>
        <w:gridCol w:w="2559"/>
        <w:gridCol w:w="105"/>
        <w:tblGridChange w:id="0">
          <w:tblGrid>
            <w:gridCol w:w="2520"/>
            <w:gridCol w:w="2520"/>
            <w:gridCol w:w="2520"/>
            <w:gridCol w:w="2559"/>
            <w:gridCol w:w="105"/>
          </w:tblGrid>
        </w:tblGridChange>
      </w:tblGrid>
      <w:tr>
        <w:trPr>
          <w:cantSplit w:val="0"/>
          <w:tblHeader w:val="0"/>
        </w:trPr>
        <w:tc>
          <w:tcPr>
            <w:shd w:fill="edf5f2" w:val="clear"/>
            <w:tcMar>
              <w:top w:w="55.0" w:type="dxa"/>
              <w:left w:w="75.0" w:type="dxa"/>
              <w:bottom w:w="55.0" w:type="dxa"/>
              <w:right w:w="75.0" w:type="dxa"/>
            </w:tcMar>
          </w:tcPr>
          <w:p w:rsidR="00000000" w:rsidDel="00000000" w:rsidP="00000000" w:rsidRDefault="00000000" w:rsidRPr="00000000" w14:paraId="0000000D">
            <w:pPr>
              <w:spacing w:line="240" w:lineRule="auto"/>
              <w:rPr/>
            </w:pPr>
            <w:r w:rsidDel="00000000" w:rsidR="00000000" w:rsidRPr="00000000">
              <w:rPr>
                <w:b w:val="1"/>
                <w:bCs w:val="1"/>
                <w:color w:val="f36c21"/>
                <w:sz w:val="13"/>
                <w:szCs w:val="13"/>
                <w:rtl w:val="0"/>
              </w:rPr>
              <w:t xml:space="preserve">Scope</w:t>
              <w:br w:type="textWrapping"/>
            </w:r>
            <w:r w:rsidDel="00000000" w:rsidR="00000000" w:rsidRPr="00000000">
              <w:rPr>
                <w:b w:val="1"/>
                <w:bCs w:val="1"/>
                <w:color w:val="005b66"/>
                <w:sz w:val="13"/>
                <w:szCs w:val="13"/>
                <w:rtl w:val="0"/>
              </w:rPr>
              <w:t xml:space="preserve">3 sectors • transnational transferability</w:t>
            </w:r>
            <w:r w:rsidDel="00000000" w:rsidR="00000000" w:rsidRPr="00000000">
              <w:rPr>
                <w:rtl w:val="0"/>
              </w:rPr>
            </w:r>
          </w:p>
        </w:tc>
        <w:tc>
          <w:tcPr>
            <w:shd w:fill="edf5f2" w:val="clear"/>
            <w:tcMar>
              <w:top w:w="55.0" w:type="dxa"/>
              <w:left w:w="75.0" w:type="dxa"/>
              <w:bottom w:w="55.0" w:type="dxa"/>
              <w:right w:w="75.0" w:type="dxa"/>
            </w:tcMar>
          </w:tcPr>
          <w:p w:rsidR="00000000" w:rsidDel="00000000" w:rsidP="00000000" w:rsidRDefault="00000000" w:rsidRPr="00000000" w14:paraId="0000000E">
            <w:pPr>
              <w:spacing w:line="240" w:lineRule="auto"/>
              <w:rPr/>
            </w:pPr>
            <w:r w:rsidDel="00000000" w:rsidR="00000000" w:rsidRPr="00000000">
              <w:rPr>
                <w:b w:val="1"/>
                <w:bCs w:val="1"/>
                <w:color w:val="f36c21"/>
                <w:sz w:val="13"/>
                <w:szCs w:val="13"/>
                <w:rtl w:val="0"/>
              </w:rPr>
              <w:t xml:space="preserve">Core outputs</w:t>
              <w:br w:type="textWrapping"/>
            </w:r>
            <w:r w:rsidDel="00000000" w:rsidR="00000000" w:rsidRPr="00000000">
              <w:rPr>
                <w:b w:val="1"/>
                <w:bCs w:val="1"/>
                <w:color w:val="005b66"/>
                <w:sz w:val="13"/>
                <w:szCs w:val="13"/>
                <w:rtl w:val="0"/>
              </w:rPr>
              <w:t xml:space="preserve">3 sector cooperation framework models</w:t>
            </w:r>
            <w:r w:rsidDel="00000000" w:rsidR="00000000" w:rsidRPr="00000000">
              <w:rPr>
                <w:rtl w:val="0"/>
              </w:rPr>
            </w:r>
          </w:p>
        </w:tc>
        <w:tc>
          <w:tcPr>
            <w:shd w:fill="edf5f2" w:val="clear"/>
            <w:tcMar>
              <w:top w:w="55.0" w:type="dxa"/>
              <w:left w:w="75.0" w:type="dxa"/>
              <w:bottom w:w="55.0" w:type="dxa"/>
              <w:right w:w="75.0" w:type="dxa"/>
            </w:tcMar>
          </w:tcPr>
          <w:p w:rsidR="00000000" w:rsidDel="00000000" w:rsidP="00000000" w:rsidRDefault="00000000" w:rsidRPr="00000000" w14:paraId="0000000F">
            <w:pPr>
              <w:spacing w:line="240" w:lineRule="auto"/>
              <w:rPr/>
            </w:pPr>
            <w:r w:rsidDel="00000000" w:rsidR="00000000" w:rsidRPr="00000000">
              <w:rPr>
                <w:b w:val="1"/>
                <w:bCs w:val="1"/>
                <w:color w:val="f36c21"/>
                <w:sz w:val="13"/>
                <w:szCs w:val="13"/>
                <w:rtl w:val="0"/>
              </w:rPr>
              <w:t xml:space="preserve">Practical logic</w:t>
              <w:br w:type="textWrapping"/>
            </w:r>
            <w:r w:rsidDel="00000000" w:rsidR="00000000" w:rsidRPr="00000000">
              <w:rPr>
                <w:b w:val="1"/>
                <w:bCs w:val="1"/>
                <w:color w:val="005b66"/>
                <w:sz w:val="13"/>
                <w:szCs w:val="13"/>
                <w:rtl w:val="0"/>
              </w:rPr>
              <w:t xml:space="preserve">Green / Yellow / Red readiness</w:t>
            </w:r>
            <w:r w:rsidDel="00000000" w:rsidR="00000000" w:rsidRPr="00000000">
              <w:rPr>
                <w:rtl w:val="0"/>
              </w:rPr>
            </w:r>
          </w:p>
        </w:tc>
        <w:tc>
          <w:tcPr>
            <w:gridSpan w:val="2"/>
            <w:shd w:fill="edf5f2" w:val="clear"/>
            <w:tcMar>
              <w:top w:w="55.0" w:type="dxa"/>
              <w:left w:w="75.0" w:type="dxa"/>
              <w:bottom w:w="55.0" w:type="dxa"/>
              <w:right w:w="75.0" w:type="dxa"/>
            </w:tcMar>
          </w:tcPr>
          <w:p w:rsidR="00000000" w:rsidDel="00000000" w:rsidP="00000000" w:rsidRDefault="00000000" w:rsidRPr="00000000" w14:paraId="00000010">
            <w:pPr>
              <w:spacing w:line="240" w:lineRule="auto"/>
              <w:rPr/>
            </w:pPr>
            <w:r w:rsidDel="00000000" w:rsidR="00000000" w:rsidRPr="00000000">
              <w:rPr>
                <w:b w:val="1"/>
                <w:bCs w:val="1"/>
                <w:color w:val="f36c21"/>
                <w:sz w:val="13"/>
                <w:szCs w:val="13"/>
                <w:rtl w:val="0"/>
              </w:rPr>
              <w:t xml:space="preserve">End point</w:t>
              <w:br w:type="textWrapping"/>
            </w:r>
            <w:r w:rsidDel="00000000" w:rsidR="00000000" w:rsidRPr="00000000">
              <w:rPr>
                <w:b w:val="1"/>
                <w:bCs w:val="1"/>
                <w:color w:val="005b66"/>
                <w:sz w:val="13"/>
                <w:szCs w:val="13"/>
                <w:rtl w:val="0"/>
              </w:rPr>
              <w:t xml:space="preserve">adapted or signed arrangement, where appropriate</w:t>
            </w:r>
            <w:r w:rsidDel="00000000" w:rsidR="00000000" w:rsidRPr="00000000">
              <w:rPr>
                <w:rtl w:val="0"/>
              </w:rPr>
            </w:r>
          </w:p>
        </w:tc>
      </w:tr>
      <w:tr>
        <w:trPr>
          <w:cantSplit w:val="0"/>
          <w:tblHeader w:val="0"/>
        </w:trPr>
        <w:tc>
          <w:tcPr>
            <w:gridSpan w:val="4"/>
            <w:tcBorders>
              <w:top w:color="000000" w:space="0" w:sz="0" w:val="nil"/>
              <w:left w:color="000000" w:space="0" w:sz="0" w:val="nil"/>
              <w:bottom w:color="000000" w:space="0" w:sz="0" w:val="nil"/>
              <w:right w:color="000000" w:space="0" w:sz="0" w:val="nil"/>
            </w:tcBorders>
            <w:shd w:fill="005b66" w:val="clear"/>
            <w:tcMar>
              <w:top w:w="90.0" w:type="dxa"/>
              <w:left w:w="140.0" w:type="dxa"/>
              <w:bottom w:w="90.0" w:type="dxa"/>
              <w:right w:w="140.0" w:type="dxa"/>
            </w:tcMar>
          </w:tcPr>
          <w:p w:rsidR="00000000" w:rsidDel="00000000" w:rsidP="00000000" w:rsidRDefault="00000000" w:rsidRPr="00000000" w14:paraId="00000012">
            <w:pPr>
              <w:rPr/>
            </w:pPr>
            <w:r w:rsidDel="00000000" w:rsidR="00000000" w:rsidRPr="00000000">
              <w:rPr>
                <w:b w:val="1"/>
                <w:bCs w:val="1"/>
                <w:color w:val="ffffff"/>
                <w:sz w:val="26"/>
                <w:szCs w:val="26"/>
                <w:rtl w:val="0"/>
              </w:rPr>
              <w:t xml:space="preserve">GRAPHICAL IMPLEMENTATION TO-DO LIST</w:t>
            </w:r>
            <w:r w:rsidDel="00000000" w:rsidR="00000000" w:rsidRPr="00000000">
              <w:rPr>
                <w:color w:val="dcecee"/>
                <w:rtl w:val="0"/>
              </w:rPr>
              <w:t xml:space="preserve">  Follow in order • adapt the checks, not the agreed outputs</w:t>
            </w:r>
            <w:r w:rsidDel="00000000" w:rsidR="00000000" w:rsidRPr="00000000">
              <w:rPr>
                <w:rtl w:val="0"/>
              </w:rPr>
            </w:r>
          </w:p>
        </w:tc>
      </w:tr>
    </w:tbl>
    <w:p w:rsidR="00000000" w:rsidDel="00000000" w:rsidP="00000000" w:rsidRDefault="00000000" w:rsidRPr="00000000" w14:paraId="00000016">
      <w:pPr>
        <w:spacing w:after="20" w:lineRule="auto"/>
        <w:jc w:val="center"/>
        <w:rPr/>
      </w:pPr>
      <w:r w:rsidDel="00000000" w:rsidR="00000000" w:rsidRPr="00000000">
        <w:rPr/>
        <w:drawing>
          <wp:inline distB="0" distT="0" distL="0" distR="0">
            <wp:extent cx="5779008" cy="6281023"/>
            <wp:effectExtent b="0" l="0" r="0" t="0"/>
            <wp:docPr id="10"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79008" cy="6281023"/>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br w:type="page"/>
      </w:r>
      <w:r w:rsidDel="00000000" w:rsidR="00000000" w:rsidRPr="00000000">
        <w:rPr>
          <w:rtl w:val="0"/>
        </w:rPr>
      </w:r>
    </w:p>
    <w:tbl>
      <w:tblPr>
        <w:tblStyle w:val="Table4"/>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18">
            <w:pPr>
              <w:rPr/>
            </w:pPr>
            <w:r w:rsidDel="00000000" w:rsidR="00000000" w:rsidRPr="00000000">
              <w:rPr>
                <w:b w:val="1"/>
                <w:bCs w:val="1"/>
                <w:color w:val="ffffff"/>
                <w:sz w:val="26"/>
                <w:szCs w:val="26"/>
                <w:rtl w:val="0"/>
              </w:rPr>
              <w:t xml:space="preserve">IMPLEMENTATION PACK</w:t>
            </w:r>
            <w:r w:rsidDel="00000000" w:rsidR="00000000" w:rsidRPr="00000000">
              <w:rPr>
                <w:color w:val="dcecee"/>
                <w:rtl w:val="0"/>
              </w:rPr>
              <w:t xml:space="preserve">  people • evidence • decisions • companion tools</w:t>
            </w:r>
            <w:r w:rsidDel="00000000" w:rsidR="00000000" w:rsidRPr="00000000">
              <w:rPr>
                <w:rtl w:val="0"/>
              </w:rPr>
            </w:r>
          </w:p>
        </w:tc>
      </w:tr>
    </w:tbl>
    <w:p w:rsidR="00000000" w:rsidDel="00000000" w:rsidP="00000000" w:rsidRDefault="00000000" w:rsidRPr="00000000" w14:paraId="00000019">
      <w:pPr>
        <w:pStyle w:val="Heading2"/>
        <w:rPr/>
      </w:pPr>
      <w:r w:rsidDel="00000000" w:rsidR="00000000" w:rsidRPr="00000000">
        <w:rPr>
          <w:rFonts w:ascii="Tahoma" w:cs="Tahoma" w:eastAsia="Tahoma" w:hAnsi="Tahoma"/>
          <w:rtl w:val="0"/>
        </w:rPr>
        <w:t xml:space="preserve">Who does what</w:t>
      </w:r>
      <w:r w:rsidDel="00000000" w:rsidR="00000000" w:rsidRPr="00000000">
        <w:rPr>
          <w:rtl w:val="0"/>
        </w:rPr>
      </w:r>
    </w:p>
    <w:tbl>
      <w:tblPr>
        <w:tblStyle w:val="Table5"/>
        <w:tblW w:w="10080.0" w:type="dxa"/>
        <w:jc w:val="center"/>
        <w:tblBorders>
          <w:top w:color="d8e2e3" w:space="0" w:sz="6" w:val="single"/>
          <w:left w:color="d8e2e3" w:space="0" w:sz="6" w:val="single"/>
          <w:bottom w:color="d8e2e3" w:space="0" w:sz="6" w:val="single"/>
          <w:right w:color="d8e2e3" w:space="0" w:sz="6" w:val="single"/>
          <w:insideH w:color="d8e2e3" w:space="0" w:sz="6" w:val="single"/>
          <w:insideV w:color="d8e2e3" w:space="0" w:sz="6" w:val="single"/>
        </w:tblBorders>
        <w:tblLayout w:type="fixed"/>
        <w:tblLook w:val="0400"/>
      </w:tblPr>
      <w:tblGrid>
        <w:gridCol w:w="3360"/>
        <w:gridCol w:w="3360"/>
        <w:gridCol w:w="3360"/>
        <w:tblGridChange w:id="0">
          <w:tblGrid>
            <w:gridCol w:w="3360"/>
            <w:gridCol w:w="3360"/>
            <w:gridCol w:w="3360"/>
          </w:tblGrid>
        </w:tblGridChange>
      </w:tblGrid>
      <w:tr>
        <w:trPr>
          <w:cantSplit w:val="0"/>
          <w:tblHeader w:val="0"/>
        </w:trPr>
        <w:tc>
          <w:tcPr>
            <w:shd w:fill="edf5f2" w:val="clear"/>
            <w:tcMar>
              <w:top w:w="100.0" w:type="dxa"/>
              <w:left w:w="120.0" w:type="dxa"/>
              <w:bottom w:w="100.0" w:type="dxa"/>
              <w:right w:w="120.0" w:type="dxa"/>
            </w:tcMar>
          </w:tcPr>
          <w:p w:rsidR="00000000" w:rsidDel="00000000" w:rsidP="00000000" w:rsidRDefault="00000000" w:rsidRPr="00000000" w14:paraId="0000001A">
            <w:pPr>
              <w:rPr/>
            </w:pPr>
            <w:r w:rsidDel="00000000" w:rsidR="00000000" w:rsidRPr="00000000">
              <w:rPr>
                <w:b w:val="1"/>
                <w:bCs w:val="1"/>
                <w:color w:val="005b66"/>
                <w:sz w:val="17"/>
                <w:szCs w:val="17"/>
                <w:rtl w:val="0"/>
              </w:rPr>
              <w:t xml:space="preserve">Industrial supplier</w:t>
              <w:br w:type="textWrapping"/>
            </w:r>
            <w:r w:rsidDel="00000000" w:rsidR="00000000" w:rsidRPr="00000000">
              <w:rPr>
                <w:color w:val="1d272c"/>
                <w:sz w:val="16"/>
                <w:szCs w:val="16"/>
                <w:rtl w:val="0"/>
              </w:rPr>
              <w:t xml:space="preserve">Describes the material and confirms transfer conditions.</w:t>
            </w:r>
            <w:r w:rsidDel="00000000" w:rsidR="00000000" w:rsidRPr="00000000">
              <w:rPr>
                <w:rtl w:val="0"/>
              </w:rPr>
            </w:r>
          </w:p>
        </w:tc>
        <w:tc>
          <w:tcPr>
            <w:shd w:fill="edf5f2" w:val="clear"/>
            <w:tcMar>
              <w:top w:w="100.0" w:type="dxa"/>
              <w:left w:w="120.0" w:type="dxa"/>
              <w:bottom w:w="100.0" w:type="dxa"/>
              <w:right w:w="120.0" w:type="dxa"/>
            </w:tcMar>
          </w:tcPr>
          <w:p w:rsidR="00000000" w:rsidDel="00000000" w:rsidP="00000000" w:rsidRDefault="00000000" w:rsidRPr="00000000" w14:paraId="0000001B">
            <w:pPr>
              <w:rPr/>
            </w:pPr>
            <w:r w:rsidDel="00000000" w:rsidR="00000000" w:rsidRPr="00000000">
              <w:rPr>
                <w:b w:val="1"/>
                <w:bCs w:val="1"/>
                <w:color w:val="005b66"/>
                <w:sz w:val="17"/>
                <w:szCs w:val="17"/>
                <w:rtl w:val="0"/>
              </w:rPr>
              <w:t xml:space="preserve">Artisan / craft receiver</w:t>
              <w:br w:type="textWrapping"/>
            </w:r>
            <w:r w:rsidDel="00000000" w:rsidR="00000000" w:rsidRPr="00000000">
              <w:rPr>
                <w:color w:val="1d272c"/>
                <w:sz w:val="16"/>
                <w:szCs w:val="16"/>
                <w:rtl w:val="0"/>
              </w:rPr>
              <w:t xml:space="preserve">Defines intended use, acceptance criteria and practical needs.</w:t>
            </w:r>
            <w:r w:rsidDel="00000000" w:rsidR="00000000" w:rsidRPr="00000000">
              <w:rPr>
                <w:rtl w:val="0"/>
              </w:rPr>
            </w:r>
          </w:p>
        </w:tc>
        <w:tc>
          <w:tcPr>
            <w:shd w:fill="edf5f2" w:val="clear"/>
            <w:tcMar>
              <w:top w:w="100.0" w:type="dxa"/>
              <w:left w:w="120.0" w:type="dxa"/>
              <w:bottom w:w="100.0" w:type="dxa"/>
              <w:right w:w="120.0" w:type="dxa"/>
            </w:tcMar>
          </w:tcPr>
          <w:p w:rsidR="00000000" w:rsidDel="00000000" w:rsidP="00000000" w:rsidRDefault="00000000" w:rsidRPr="00000000" w14:paraId="0000001C">
            <w:pPr>
              <w:rPr/>
            </w:pPr>
            <w:r w:rsidDel="00000000" w:rsidR="00000000" w:rsidRPr="00000000">
              <w:rPr>
                <w:b w:val="1"/>
                <w:bCs w:val="1"/>
                <w:color w:val="005b66"/>
                <w:sz w:val="17"/>
                <w:szCs w:val="17"/>
                <w:rtl w:val="0"/>
              </w:rPr>
              <w:t xml:space="preserve">Facilitator / adviser</w:t>
              <w:br w:type="textWrapping"/>
            </w:r>
            <w:r w:rsidDel="00000000" w:rsidR="00000000" w:rsidRPr="00000000">
              <w:rPr>
                <w:color w:val="1d272c"/>
                <w:sz w:val="16"/>
                <w:szCs w:val="16"/>
                <w:rtl w:val="0"/>
              </w:rPr>
              <w:t xml:space="preserve">Guides the framework, evidence trail and referrals for review.</w:t>
            </w:r>
            <w:r w:rsidDel="00000000" w:rsidR="00000000" w:rsidRPr="00000000">
              <w:rPr>
                <w:rtl w:val="0"/>
              </w:rPr>
            </w:r>
          </w:p>
        </w:tc>
      </w:tr>
    </w:tbl>
    <w:p w:rsidR="00000000" w:rsidDel="00000000" w:rsidP="00000000" w:rsidRDefault="00000000" w:rsidRPr="00000000" w14:paraId="0000001D">
      <w:pPr>
        <w:pStyle w:val="Heading2"/>
        <w:rPr/>
      </w:pPr>
      <w:r w:rsidDel="00000000" w:rsidR="00000000" w:rsidRPr="00000000">
        <w:rPr>
          <w:rFonts w:ascii="Tahoma" w:cs="Tahoma" w:eastAsia="Tahoma" w:hAnsi="Tahoma"/>
          <w:rtl w:val="0"/>
        </w:rPr>
        <w:t xml:space="preserve">Minimum readiness and evidence</w:t>
      </w:r>
      <w:r w:rsidDel="00000000" w:rsidR="00000000" w:rsidRPr="00000000">
        <w:rPr>
          <w:rtl w:val="0"/>
        </w:rPr>
      </w:r>
    </w:p>
    <w:p w:rsidR="00000000" w:rsidDel="00000000" w:rsidP="00000000" w:rsidRDefault="00000000" w:rsidRPr="00000000" w14:paraId="0000001E">
      <w:pPr>
        <w:spacing w:after="40" w:lineRule="auto"/>
        <w:ind w:left="202" w:hanging="202"/>
        <w:rPr/>
      </w:pPr>
      <w:sdt>
        <w:sdtPr>
          <w:id w:val="1033492789"/>
          <w:tag w:val="goog_rdk_0"/>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Concrete parties, material stream and intended use identified</w:t>
      </w:r>
      <w:r w:rsidDel="00000000" w:rsidR="00000000" w:rsidRPr="00000000">
        <w:rPr>
          <w:rtl w:val="0"/>
        </w:rPr>
      </w:r>
    </w:p>
    <w:p w:rsidR="00000000" w:rsidDel="00000000" w:rsidP="00000000" w:rsidRDefault="00000000" w:rsidRPr="00000000" w14:paraId="0000001F">
      <w:pPr>
        <w:spacing w:after="40" w:lineRule="auto"/>
        <w:ind w:left="202" w:hanging="202"/>
        <w:rPr/>
      </w:pPr>
      <w:sdt>
        <w:sdtPr>
          <w:id w:val="74334789"/>
          <w:tag w:val="goog_rdk_1"/>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Acceptance, transfer, logistics, costs and fallback agreed</w:t>
      </w:r>
      <w:r w:rsidDel="00000000" w:rsidR="00000000" w:rsidRPr="00000000">
        <w:rPr>
          <w:rtl w:val="0"/>
        </w:rPr>
      </w:r>
    </w:p>
    <w:p w:rsidR="00000000" w:rsidDel="00000000" w:rsidP="00000000" w:rsidRDefault="00000000" w:rsidRPr="00000000" w14:paraId="00000020">
      <w:pPr>
        <w:spacing w:after="40" w:lineRule="auto"/>
        <w:ind w:left="202" w:hanging="202"/>
        <w:rPr/>
      </w:pPr>
      <w:sdt>
        <w:sdtPr>
          <w:id w:val="-736201164"/>
          <w:tag w:val="goog_rdk_2"/>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Legal/technical questions classified Green, Yellow or Red</w:t>
      </w:r>
      <w:r w:rsidDel="00000000" w:rsidR="00000000" w:rsidRPr="00000000">
        <w:rPr>
          <w:rtl w:val="0"/>
        </w:rPr>
      </w:r>
    </w:p>
    <w:p w:rsidR="00000000" w:rsidDel="00000000" w:rsidP="00000000" w:rsidRDefault="00000000" w:rsidRPr="00000000" w14:paraId="00000021">
      <w:pPr>
        <w:spacing w:after="40" w:lineRule="auto"/>
        <w:ind w:left="202" w:hanging="202"/>
        <w:rPr/>
      </w:pPr>
      <w:sdt>
        <w:sdtPr>
          <w:id w:val="-1852043304"/>
          <w:tag w:val="goog_rdk_3"/>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Small test batch completed before scaling</w:t>
      </w:r>
      <w:r w:rsidDel="00000000" w:rsidR="00000000" w:rsidRPr="00000000">
        <w:rPr>
          <w:rtl w:val="0"/>
        </w:rPr>
      </w:r>
    </w:p>
    <w:p w:rsidR="00000000" w:rsidDel="00000000" w:rsidP="00000000" w:rsidRDefault="00000000" w:rsidRPr="00000000" w14:paraId="00000022">
      <w:pPr>
        <w:spacing w:after="40" w:lineRule="auto"/>
        <w:ind w:left="202" w:hanging="202"/>
        <w:rPr/>
      </w:pPr>
      <w:sdt>
        <w:sdtPr>
          <w:id w:val="289726067"/>
          <w:tag w:val="goog_rdk_4"/>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Final arrangement reflects test evidence</w:t>
      </w:r>
      <w:r w:rsidDel="00000000" w:rsidR="00000000" w:rsidRPr="00000000">
        <w:rPr>
          <w:rtl w:val="0"/>
        </w:rPr>
      </w:r>
    </w:p>
    <w:p w:rsidR="00000000" w:rsidDel="00000000" w:rsidP="00000000" w:rsidRDefault="00000000" w:rsidRPr="00000000" w14:paraId="00000023">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Fonts w:ascii="Tahoma" w:cs="Tahoma" w:eastAsia="Tahoma" w:hAnsi="Tahoma"/>
          <w:rtl w:val="0"/>
        </w:rPr>
        <w:t xml:space="preserve">Sector adaptation</w:t>
      </w:r>
      <w:r w:rsidDel="00000000" w:rsidR="00000000" w:rsidRPr="00000000">
        <w:rPr>
          <w:rtl w:val="0"/>
        </w:rPr>
      </w:r>
    </w:p>
    <w:tbl>
      <w:tblPr>
        <w:tblStyle w:val="Table6"/>
        <w:tblW w:w="10119.0" w:type="dxa"/>
        <w:jc w:val="center"/>
        <w:tblBorders>
          <w:top w:color="c8d4d7" w:space="0" w:sz="6" w:val="single"/>
          <w:left w:color="c8d4d7" w:space="0" w:sz="6" w:val="single"/>
          <w:bottom w:color="c8d4d7" w:space="0" w:sz="6" w:val="single"/>
          <w:right w:color="c8d4d7" w:space="0" w:sz="6" w:val="single"/>
          <w:insideH w:color="c8d4d7" w:space="0" w:sz="6" w:val="single"/>
          <w:insideV w:color="c8d4d7" w:space="0" w:sz="6" w:val="single"/>
        </w:tblBorders>
        <w:tblLayout w:type="fixed"/>
        <w:tblLook w:val="0400"/>
      </w:tblPr>
      <w:tblGrid>
        <w:gridCol w:w="10119"/>
        <w:tblGridChange w:id="0">
          <w:tblGrid>
            <w:gridCol w:w="10119"/>
          </w:tblGrid>
        </w:tblGridChange>
      </w:tblGrid>
      <w:tr>
        <w:trPr>
          <w:cantSplit w:val="0"/>
          <w:tblHeader w:val="0"/>
        </w:trPr>
        <w:tc>
          <w:tcPr>
            <w:shd w:fill="f4f6f7" w:val="clear"/>
            <w:tcMar>
              <w:top w:w="110.0" w:type="dxa"/>
              <w:left w:w="130.0" w:type="dxa"/>
              <w:bottom w:w="110.0" w:type="dxa"/>
              <w:right w:w="130.0" w:type="dxa"/>
            </w:tcMar>
          </w:tcPr>
          <w:p w:rsidR="00000000" w:rsidDel="00000000" w:rsidP="00000000" w:rsidRDefault="00000000" w:rsidRPr="00000000" w14:paraId="00000025">
            <w:pPr>
              <w:rPr/>
            </w:pPr>
            <w:r w:rsidDel="00000000" w:rsidR="00000000" w:rsidRPr="00000000">
              <w:rPr>
                <w:color w:val="1d272c"/>
                <w:sz w:val="16"/>
                <w:szCs w:val="16"/>
                <w:rtl w:val="0"/>
              </w:rPr>
              <w:t xml:space="preserve">Agro-food: legal status, hygiene, traceability, perishability and allergens. Textile: fibre composition, treatments, sorting, safety, confidentiality and branding. Wood &amp; furniture: moisture, coatings, adhesives, hazardous treatments, liability and final use.</w:t>
            </w:r>
            <w:r w:rsidDel="00000000" w:rsidR="00000000" w:rsidRPr="00000000">
              <w:rPr>
                <w:rtl w:val="0"/>
              </w:rPr>
            </w:r>
          </w:p>
        </w:tc>
      </w:tr>
    </w:tbl>
    <w:p w:rsidR="00000000" w:rsidDel="00000000" w:rsidP="00000000" w:rsidRDefault="00000000" w:rsidRPr="00000000" w14:paraId="00000026">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Fonts w:ascii="Tahoma" w:cs="Tahoma" w:eastAsia="Tahoma" w:hAnsi="Tahoma"/>
          <w:rtl w:val="0"/>
        </w:rPr>
        <w:t xml:space="preserve">Digital tools and separate System Map</w:t>
      </w:r>
      <w:r w:rsidDel="00000000" w:rsidR="00000000" w:rsidRPr="00000000">
        <w:rPr>
          <w:rtl w:val="0"/>
        </w:rPr>
      </w:r>
    </w:p>
    <w:p w:rsidR="00000000" w:rsidDel="00000000" w:rsidP="00000000" w:rsidRDefault="00000000" w:rsidRPr="00000000" w14:paraId="00000028">
      <w:pPr>
        <w:rPr/>
      </w:pPr>
      <w:r w:rsidDel="00000000" w:rsidR="00000000" w:rsidRPr="00000000">
        <w:rPr>
          <w:color w:val="1d272c"/>
          <w:sz w:val="16"/>
          <w:szCs w:val="16"/>
          <w:rtl w:val="0"/>
        </w:rPr>
        <w:t xml:space="preserve">Tool 3 helps identify cooperation, legal and contractual questions; it does not determine legal status or replace qualified review. Tool 4 formats reviewed content only.</w:t>
      </w:r>
      <w:r w:rsidDel="00000000" w:rsidR="00000000" w:rsidRPr="00000000">
        <w:rPr>
          <w:rtl w:val="0"/>
        </w:rPr>
      </w:r>
    </w:p>
    <w:p w:rsidR="00000000" w:rsidDel="00000000" w:rsidP="00000000" w:rsidRDefault="00000000" w:rsidRPr="00000000" w14:paraId="00000029">
      <w:pPr>
        <w:rPr/>
      </w:pPr>
      <w:r w:rsidDel="00000000" w:rsidR="00000000" w:rsidRPr="00000000">
        <w:rPr>
          <w:color w:val="1d272c"/>
          <w:sz w:val="16"/>
          <w:szCs w:val="16"/>
          <w:rtl w:val="0"/>
        </w:rPr>
        <w:t xml:space="preserve">Use this guideline together with the separately maintained </w:t>
      </w:r>
      <w:hyperlink r:id="rId11">
        <w:r w:rsidDel="00000000" w:rsidR="00000000" w:rsidRPr="00000000">
          <w:rPr>
            <w:b w:val="1"/>
            <w:bCs w:val="1"/>
            <w:color w:val="005b66"/>
            <w:sz w:val="16"/>
            <w:szCs w:val="16"/>
            <w:u w:val="single"/>
            <w:rtl w:val="0"/>
          </w:rPr>
          <w:t xml:space="preserve">SYMCRAFT Solution 3 System Map – open separate document</w:t>
        </w:r>
      </w:hyperlink>
      <w:r w:rsidDel="00000000" w:rsidR="00000000" w:rsidRPr="00000000">
        <w:rPr>
          <w:color w:val="1d272c"/>
          <w:sz w:val="16"/>
          <w:szCs w:val="16"/>
          <w:rtl w:val="0"/>
        </w:rPr>
        <w:t xml:space="preserve">. The graphical To-Do List is reproduced on page 2, while the System Map remains a separate companion file and is not counted within the three content pages of this guideline.</w:t>
      </w:r>
      <w:r w:rsidDel="00000000" w:rsidR="00000000" w:rsidRPr="00000000">
        <w:rPr>
          <w:rtl w:val="0"/>
        </w:rPr>
      </w:r>
    </w:p>
    <w:tbl>
      <w:tblPr>
        <w:tblStyle w:val="Table7"/>
        <w:tblW w:w="10080.0" w:type="dxa"/>
        <w:jc w:val="center"/>
        <w:tblBorders>
          <w:top w:color="bfd2d4" w:space="0" w:sz="6" w:val="single"/>
          <w:left w:color="bfd2d4" w:space="0" w:sz="6" w:val="single"/>
          <w:bottom w:color="bfd2d4" w:space="0" w:sz="6" w:val="single"/>
          <w:right w:color="bfd2d4" w:space="0" w:sz="6" w:val="single"/>
          <w:insideH w:color="bfd2d4" w:space="0" w:sz="6" w:val="single"/>
          <w:insideV w:color="bfd2d4"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100.0" w:type="dxa"/>
              <w:left w:w="130.0" w:type="dxa"/>
              <w:bottom w:w="100.0" w:type="dxa"/>
              <w:right w:w="130.0" w:type="dxa"/>
            </w:tcMar>
          </w:tcPr>
          <w:p w:rsidR="00000000" w:rsidDel="00000000" w:rsidP="00000000" w:rsidRDefault="00000000" w:rsidRPr="00000000" w14:paraId="0000002A">
            <w:pPr>
              <w:rPr/>
            </w:pPr>
            <w:r w:rsidDel="00000000" w:rsidR="00000000" w:rsidRPr="00000000">
              <w:rPr>
                <w:b w:val="1"/>
                <w:bCs w:val="1"/>
                <w:color w:val="93c63d"/>
                <w:sz w:val="17"/>
                <w:szCs w:val="17"/>
                <w:rtl w:val="0"/>
              </w:rPr>
              <w:t xml:space="preserve">DO</w:t>
              <w:br w:type="textWrapping"/>
            </w:r>
            <w:r w:rsidDel="00000000" w:rsidR="00000000" w:rsidRPr="00000000">
              <w:rPr>
                <w:color w:val="1d272c"/>
                <w:sz w:val="16"/>
                <w:szCs w:val="16"/>
                <w:rtl w:val="0"/>
              </w:rPr>
              <w:t xml:space="preserve">Start with one concrete case • verify critical facts • test proportionately • record decisions and open questions.</w:t>
            </w:r>
            <w:r w:rsidDel="00000000" w:rsidR="00000000" w:rsidRPr="00000000">
              <w:rPr>
                <w:rtl w:val="0"/>
              </w:rPr>
            </w:r>
          </w:p>
        </w:tc>
        <w:tc>
          <w:tcPr>
            <w:shd w:fill="fff2ea" w:val="clear"/>
            <w:tcMar>
              <w:top w:w="100.0" w:type="dxa"/>
              <w:left w:w="130.0" w:type="dxa"/>
              <w:bottom w:w="100.0" w:type="dxa"/>
              <w:right w:w="130.0" w:type="dxa"/>
            </w:tcMar>
          </w:tcPr>
          <w:p w:rsidR="00000000" w:rsidDel="00000000" w:rsidP="00000000" w:rsidRDefault="00000000" w:rsidRPr="00000000" w14:paraId="0000002B">
            <w:pPr>
              <w:rPr/>
            </w:pPr>
            <w:r w:rsidDel="00000000" w:rsidR="00000000" w:rsidRPr="00000000">
              <w:rPr>
                <w:b w:val="1"/>
                <w:bCs w:val="1"/>
                <w:color w:val="f36c21"/>
                <w:sz w:val="17"/>
                <w:szCs w:val="17"/>
                <w:rtl w:val="0"/>
              </w:rPr>
              <w:t xml:space="preserve">DON’T</w:t>
              <w:br w:type="textWrapping"/>
            </w:r>
            <w:r w:rsidDel="00000000" w:rsidR="00000000" w:rsidRPr="00000000">
              <w:rPr>
                <w:color w:val="1d272c"/>
                <w:sz w:val="16"/>
                <w:szCs w:val="16"/>
                <w:rtl w:val="0"/>
              </w:rPr>
              <w:t xml:space="preserve">Assume feasibility or legal status • treat digital output as validation • scale before testing • hide unresolved risks.</w:t>
            </w:r>
            <w:r w:rsidDel="00000000" w:rsidR="00000000" w:rsidRPr="00000000">
              <w:rPr>
                <w:rtl w:val="0"/>
              </w:rPr>
            </w:r>
          </w:p>
        </w:tc>
      </w:tr>
    </w:tbl>
    <w:p w:rsidR="00000000" w:rsidDel="00000000" w:rsidP="00000000" w:rsidRDefault="00000000" w:rsidRPr="00000000" w14:paraId="0000002C">
      <w:pPr>
        <w:spacing w:before="100" w:lineRule="auto"/>
        <w:rPr/>
      </w:pPr>
      <w:r w:rsidDel="00000000" w:rsidR="00000000" w:rsidRPr="00000000">
        <w:rPr>
          <w:b w:val="1"/>
          <w:bCs w:val="1"/>
          <w:color w:val="f36c21"/>
          <w:sz w:val="17"/>
          <w:szCs w:val="17"/>
          <w:rtl w:val="0"/>
        </w:rPr>
        <w:t xml:space="preserve">Working rule: </w:t>
      </w:r>
      <w:r w:rsidDel="00000000" w:rsidR="00000000" w:rsidRPr="00000000">
        <w:rPr>
          <w:b w:val="1"/>
          <w:bCs w:val="1"/>
          <w:color w:val="123c56"/>
          <w:sz w:val="16"/>
          <w:szCs w:val="16"/>
          <w:rtl w:val="0"/>
        </w:rPr>
        <w:t xml:space="preserve">use the graphical To-Do List for the operational sequence, the System Map for the wider relationships, and this guideline for method, evidence and decision logic. Keep the System Map separate but distribute it with the guideline.</w:t>
      </w:r>
      <w:r w:rsidDel="00000000" w:rsidR="00000000" w:rsidRPr="00000000">
        <w:rPr>
          <w:rtl w:val="0"/>
        </w:rPr>
      </w:r>
    </w:p>
    <w:p w:rsidR="00000000" w:rsidDel="00000000" w:rsidP="00000000" w:rsidRDefault="00000000" w:rsidRPr="00000000" w14:paraId="0000002D">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E">
      <w:pPr>
        <w:pStyle w:val="Heading2"/>
        <w:rPr/>
      </w:pPr>
      <w:r w:rsidDel="00000000" w:rsidR="00000000" w:rsidRPr="00000000">
        <w:rPr>
          <w:rFonts w:ascii="Tahoma" w:cs="Tahoma" w:eastAsia="Tahoma" w:hAnsi="Tahoma"/>
          <w:rtl w:val="0"/>
        </w:rPr>
        <w:t xml:space="preserve">Method in practice and evidence to retain</w:t>
      </w:r>
      <w:r w:rsidDel="00000000" w:rsidR="00000000" w:rsidRPr="00000000">
        <w:rPr>
          <w:rtl w:val="0"/>
        </w:rPr>
      </w:r>
    </w:p>
    <w:tbl>
      <w:tblPr>
        <w:tblStyle w:val="Table8"/>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105.0" w:type="dxa"/>
              <w:left w:w="125.0" w:type="dxa"/>
              <w:bottom w:w="105.0" w:type="dxa"/>
              <w:right w:w="125.0" w:type="dxa"/>
            </w:tcMar>
          </w:tcPr>
          <w:p w:rsidR="00000000" w:rsidDel="00000000" w:rsidP="00000000" w:rsidRDefault="00000000" w:rsidRPr="00000000" w14:paraId="0000002F">
            <w:pPr>
              <w:rPr/>
            </w:pPr>
            <w:r w:rsidDel="00000000" w:rsidR="00000000" w:rsidRPr="00000000">
              <w:rPr>
                <w:b w:val="1"/>
                <w:bCs w:val="1"/>
                <w:color w:val="005b66"/>
                <w:sz w:val="16"/>
                <w:szCs w:val="16"/>
                <w:rtl w:val="0"/>
              </w:rPr>
              <w:t xml:space="preserve">METHOD IN PRACTICE</w:t>
              <w:br w:type="textWrapping"/>
            </w:r>
            <w:r w:rsidDel="00000000" w:rsidR="00000000" w:rsidRPr="00000000">
              <w:rPr>
                <w:color w:val="1d272c"/>
                <w:sz w:val="15"/>
                <w:szCs w:val="15"/>
                <w:rtl w:val="0"/>
              </w:rPr>
              <w:t xml:space="preserve">Begin with one concrete supplier–receiver case and the correct sector framework. • Describe the material and intended use before negotiating detailed clauses. • Apply Green/Yellow/Red logic and test a limited batch. • Formalise only after responsibilities and material conditions reflect test results.</w:t>
            </w:r>
            <w:r w:rsidDel="00000000" w:rsidR="00000000" w:rsidRPr="00000000">
              <w:rPr>
                <w:rtl w:val="0"/>
              </w:rPr>
            </w:r>
          </w:p>
        </w:tc>
        <w:tc>
          <w:tcPr>
            <w:shd w:fill="f4f6f7" w:val="clear"/>
            <w:tcMar>
              <w:top w:w="105.0" w:type="dxa"/>
              <w:left w:w="125.0" w:type="dxa"/>
              <w:bottom w:w="105.0" w:type="dxa"/>
              <w:right w:w="125.0" w:type="dxa"/>
            </w:tcMar>
          </w:tcPr>
          <w:p w:rsidR="00000000" w:rsidDel="00000000" w:rsidP="00000000" w:rsidRDefault="00000000" w:rsidRPr="00000000" w14:paraId="00000030">
            <w:pPr>
              <w:rPr/>
            </w:pPr>
            <w:r w:rsidDel="00000000" w:rsidR="00000000" w:rsidRPr="00000000">
              <w:rPr>
                <w:b w:val="1"/>
                <w:bCs w:val="1"/>
                <w:color w:val="005b66"/>
                <w:sz w:val="16"/>
                <w:szCs w:val="16"/>
                <w:rtl w:val="0"/>
              </w:rPr>
              <w:t xml:space="preserve">EVIDENCE TO RETAIN</w:t>
              <w:br w:type="textWrapping"/>
            </w:r>
            <w:r w:rsidDel="00000000" w:rsidR="00000000" w:rsidRPr="00000000">
              <w:rPr>
                <w:color w:val="1d272c"/>
                <w:sz w:val="15"/>
                <w:szCs w:val="15"/>
                <w:rtl w:val="0"/>
              </w:rPr>
              <w:t xml:space="preserve">Cooperation and material/status sheets • Delivery and material checks • Problem, fallback and test-batch records • Reviewed/adapted framework and signed text if used</w:t>
            </w:r>
            <w:r w:rsidDel="00000000" w:rsidR="00000000" w:rsidRPr="00000000">
              <w:rPr>
                <w:rtl w:val="0"/>
              </w:rPr>
            </w:r>
          </w:p>
        </w:tc>
      </w:tr>
    </w:tbl>
    <w:p w:rsidR="00000000" w:rsidDel="00000000" w:rsidP="00000000" w:rsidRDefault="00000000" w:rsidRPr="00000000" w14:paraId="00000031">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32">
      <w:pPr>
        <w:pStyle w:val="Heading2"/>
        <w:rPr/>
      </w:pPr>
      <w:r w:rsidDel="00000000" w:rsidR="00000000" w:rsidRPr="00000000">
        <w:rPr>
          <w:rFonts w:ascii="Tahoma" w:cs="Tahoma" w:eastAsia="Tahoma" w:hAnsi="Tahoma"/>
          <w:rtl w:val="0"/>
        </w:rPr>
        <w:t xml:space="preserve">Sector lens for replication</w:t>
      </w:r>
      <w:r w:rsidDel="00000000" w:rsidR="00000000" w:rsidRPr="00000000">
        <w:rPr>
          <w:rtl w:val="0"/>
        </w:rPr>
      </w:r>
    </w:p>
    <w:tbl>
      <w:tblPr>
        <w:tblStyle w:val="Table9"/>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3360"/>
        <w:gridCol w:w="3360"/>
        <w:gridCol w:w="3360"/>
        <w:tblGridChange w:id="0">
          <w:tblGrid>
            <w:gridCol w:w="3360"/>
            <w:gridCol w:w="3360"/>
            <w:gridCol w:w="3360"/>
          </w:tblGrid>
        </w:tblGridChange>
      </w:tblGrid>
      <w:tr>
        <w:trPr>
          <w:cantSplit w:val="0"/>
          <w:tblHeader w:val="0"/>
        </w:trPr>
        <w:tc>
          <w:tcPr>
            <w:shd w:fill="edf5f2" w:val="clear"/>
            <w:tcMar>
              <w:top w:w="90.0" w:type="dxa"/>
              <w:left w:w="105.0" w:type="dxa"/>
              <w:bottom w:w="90.0" w:type="dxa"/>
              <w:right w:w="105.0" w:type="dxa"/>
            </w:tcMar>
          </w:tcPr>
          <w:p w:rsidR="00000000" w:rsidDel="00000000" w:rsidP="00000000" w:rsidRDefault="00000000" w:rsidRPr="00000000" w14:paraId="00000033">
            <w:pPr>
              <w:rPr/>
            </w:pPr>
            <w:r w:rsidDel="00000000" w:rsidR="00000000" w:rsidRPr="00000000">
              <w:rPr>
                <w:b w:val="1"/>
                <w:bCs w:val="1"/>
                <w:color w:val="f36c21"/>
                <w:sz w:val="15"/>
                <w:szCs w:val="15"/>
                <w:rtl w:val="0"/>
              </w:rPr>
              <w:t xml:space="preserve">AGRO-FOOD</w:t>
              <w:br w:type="textWrapping"/>
            </w:r>
            <w:r w:rsidDel="00000000" w:rsidR="00000000" w:rsidRPr="00000000">
              <w:rPr>
                <w:color w:val="1d272c"/>
                <w:sz w:val="14"/>
                <w:szCs w:val="14"/>
                <w:rtl w:val="0"/>
              </w:rPr>
              <w:t xml:space="preserve">Clarify legal status, hygiene, traceability, storage, temperature, allergens, acceptance and fallback before transfer.</w:t>
            </w:r>
            <w:r w:rsidDel="00000000" w:rsidR="00000000" w:rsidRPr="00000000">
              <w:rPr>
                <w:rtl w:val="0"/>
              </w:rPr>
            </w:r>
          </w:p>
        </w:tc>
        <w:tc>
          <w:tcPr>
            <w:shd w:fill="edf5f2" w:val="clear"/>
            <w:tcMar>
              <w:top w:w="90.0" w:type="dxa"/>
              <w:left w:w="105.0" w:type="dxa"/>
              <w:bottom w:w="90.0" w:type="dxa"/>
              <w:right w:w="105.0" w:type="dxa"/>
            </w:tcMar>
          </w:tcPr>
          <w:p w:rsidR="00000000" w:rsidDel="00000000" w:rsidP="00000000" w:rsidRDefault="00000000" w:rsidRPr="00000000" w14:paraId="00000034">
            <w:pPr>
              <w:rPr/>
            </w:pPr>
            <w:r w:rsidDel="00000000" w:rsidR="00000000" w:rsidRPr="00000000">
              <w:rPr>
                <w:b w:val="1"/>
                <w:bCs w:val="1"/>
                <w:color w:val="f36c21"/>
                <w:sz w:val="15"/>
                <w:szCs w:val="15"/>
                <w:rtl w:val="0"/>
              </w:rPr>
              <w:t xml:space="preserve">TEXTILE</w:t>
              <w:br w:type="textWrapping"/>
            </w:r>
            <w:r w:rsidDel="00000000" w:rsidR="00000000" w:rsidRPr="00000000">
              <w:rPr>
                <w:color w:val="1d272c"/>
                <w:sz w:val="14"/>
                <w:szCs w:val="14"/>
                <w:rtl w:val="0"/>
              </w:rPr>
              <w:t xml:space="preserve">Specify fibre/finish, sorting, hygiene, quality, packing, confidentiality, branding and acceptance conditions; sensitive items such as lingerie require respectful handling and clear end-use rules.</w:t>
            </w:r>
            <w:r w:rsidDel="00000000" w:rsidR="00000000" w:rsidRPr="00000000">
              <w:rPr>
                <w:rtl w:val="0"/>
              </w:rPr>
            </w:r>
          </w:p>
        </w:tc>
        <w:tc>
          <w:tcPr>
            <w:shd w:fill="edf5f2" w:val="clear"/>
            <w:tcMar>
              <w:top w:w="90.0" w:type="dxa"/>
              <w:left w:w="105.0" w:type="dxa"/>
              <w:bottom w:w="90.0" w:type="dxa"/>
              <w:right w:w="105.0" w:type="dxa"/>
            </w:tcMar>
          </w:tcPr>
          <w:p w:rsidR="00000000" w:rsidDel="00000000" w:rsidP="00000000" w:rsidRDefault="00000000" w:rsidRPr="00000000" w14:paraId="00000035">
            <w:pPr>
              <w:rPr/>
            </w:pPr>
            <w:r w:rsidDel="00000000" w:rsidR="00000000" w:rsidRPr="00000000">
              <w:rPr>
                <w:b w:val="1"/>
                <w:bCs w:val="1"/>
                <w:color w:val="f36c21"/>
                <w:sz w:val="15"/>
                <w:szCs w:val="15"/>
                <w:rtl w:val="0"/>
              </w:rPr>
              <w:t xml:space="preserve">WOOD &amp; FURNITURE</w:t>
              <w:br w:type="textWrapping"/>
            </w:r>
            <w:r w:rsidDel="00000000" w:rsidR="00000000" w:rsidRPr="00000000">
              <w:rPr>
                <w:color w:val="1d272c"/>
                <w:sz w:val="14"/>
                <w:szCs w:val="14"/>
                <w:rtl w:val="0"/>
              </w:rPr>
              <w:t xml:space="preserve">Specify species/material, dimensions, grade, moisture, coatings, adhesives, hazardous treatments, liability and final use.</w:t>
            </w:r>
            <w:r w:rsidDel="00000000" w:rsidR="00000000" w:rsidRPr="00000000">
              <w:rPr>
                <w:rtl w:val="0"/>
              </w:rPr>
            </w:r>
          </w:p>
        </w:tc>
      </w:tr>
    </w:tbl>
    <w:p w:rsidR="00000000" w:rsidDel="00000000" w:rsidP="00000000" w:rsidRDefault="00000000" w:rsidRPr="00000000" w14:paraId="00000036">
      <w:pPr>
        <w:rPr/>
      </w:pPr>
      <w:r w:rsidDel="00000000" w:rsidR="00000000" w:rsidRPr="00000000">
        <w:br w:type="page"/>
      </w:r>
      <w:r w:rsidDel="00000000" w:rsidR="00000000" w:rsidRPr="00000000">
        <w:rPr>
          <w:rtl w:val="0"/>
        </w:rPr>
      </w:r>
    </w:p>
    <w:tbl>
      <w:tblPr>
        <w:tblStyle w:val="Table10"/>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37">
            <w:pPr>
              <w:rPr/>
            </w:pPr>
            <w:r w:rsidDel="00000000" w:rsidR="00000000" w:rsidRPr="00000000">
              <w:rPr>
                <w:b w:val="1"/>
                <w:bCs w:val="1"/>
                <w:color w:val="ffffff"/>
                <w:sz w:val="26"/>
                <w:szCs w:val="26"/>
                <w:rtl w:val="0"/>
              </w:rPr>
              <w:t xml:space="preserve">Benefits from taking over  (Why to join)</w:t>
            </w:r>
            <w:r w:rsidDel="00000000" w:rsidR="00000000" w:rsidRPr="00000000">
              <w:rPr>
                <w:color w:val="dcecee"/>
                <w:rtl w:val="0"/>
              </w:rPr>
              <w:t xml:space="preserve">  adapted from the source Replication Guideline</w:t>
            </w:r>
            <w:r w:rsidDel="00000000" w:rsidR="00000000" w:rsidRPr="00000000">
              <w:rPr>
                <w:rtl w:val="0"/>
              </w:rPr>
            </w:r>
          </w:p>
        </w:tc>
      </w:tr>
    </w:tbl>
    <w:p w:rsidR="00000000" w:rsidDel="00000000" w:rsidP="00000000" w:rsidRDefault="00000000" w:rsidRPr="00000000" w14:paraId="00000038">
      <w:pPr>
        <w:spacing w:before="80" w:lineRule="auto"/>
        <w:rPr/>
      </w:pPr>
      <w:r w:rsidDel="00000000" w:rsidR="00000000" w:rsidRPr="00000000">
        <w:rPr>
          <w:rtl w:val="0"/>
        </w:rPr>
      </w:r>
    </w:p>
    <w:tbl>
      <w:tblPr>
        <w:tblStyle w:val="Table11"/>
        <w:tblW w:w="10080.0" w:type="dxa"/>
        <w:jc w:val="center"/>
        <w:tblBorders>
          <w:top w:color="c7d7d9" w:space="0" w:sz="6" w:val="single"/>
          <w:left w:color="c7d7d9" w:space="0" w:sz="6" w:val="single"/>
          <w:bottom w:color="c7d7d9" w:space="0" w:sz="6" w:val="single"/>
          <w:right w:color="c7d7d9" w:space="0" w:sz="6" w:val="single"/>
          <w:insideH w:color="c7d7d9" w:space="0" w:sz="6" w:val="single"/>
          <w:insideV w:color="c7d7d9"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9">
            <w:pPr>
              <w:rPr/>
            </w:pPr>
            <w:r w:rsidDel="00000000" w:rsidR="00000000" w:rsidRPr="00000000">
              <w:rPr>
                <w:b w:val="1"/>
                <w:bCs w:val="1"/>
                <w:color w:val="005b66"/>
                <w:sz w:val="17"/>
                <w:szCs w:val="17"/>
                <w:rtl w:val="0"/>
              </w:rPr>
              <w:t xml:space="preserve">Clearer cooperation</w:t>
              <w:br w:type="textWrapping"/>
            </w:r>
            <w:r w:rsidDel="00000000" w:rsidR="00000000" w:rsidRPr="00000000">
              <w:rPr>
                <w:color w:val="1d272c"/>
                <w:sz w:val="16"/>
                <w:szCs w:val="16"/>
                <w:rtl w:val="0"/>
              </w:rPr>
              <w:t xml:space="preserve">Creates shared language for material, use, roles, logistics, costs and fallback.</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A">
            <w:pPr>
              <w:rPr/>
            </w:pPr>
            <w:r w:rsidDel="00000000" w:rsidR="00000000" w:rsidRPr="00000000">
              <w:rPr>
                <w:b w:val="1"/>
                <w:bCs w:val="1"/>
                <w:color w:val="005b66"/>
                <w:sz w:val="17"/>
                <w:szCs w:val="17"/>
                <w:rtl w:val="0"/>
              </w:rPr>
              <w:t xml:space="preserve">Lower uncertainty and risk</w:t>
              <w:br w:type="textWrapping"/>
            </w:r>
            <w:r w:rsidDel="00000000" w:rsidR="00000000" w:rsidRPr="00000000">
              <w:rPr>
                <w:color w:val="1d272c"/>
                <w:sz w:val="16"/>
                <w:szCs w:val="16"/>
                <w:rtl w:val="0"/>
              </w:rPr>
              <w:t xml:space="preserve">Makes legal, technical, safety and product-use questions visible early.</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B">
            <w:pPr>
              <w:rPr/>
            </w:pPr>
            <w:r w:rsidDel="00000000" w:rsidR="00000000" w:rsidRPr="00000000">
              <w:rPr>
                <w:b w:val="1"/>
                <w:bCs w:val="1"/>
                <w:color w:val="005b66"/>
                <w:sz w:val="17"/>
                <w:szCs w:val="17"/>
                <w:rtl w:val="0"/>
              </w:rPr>
              <w:t xml:space="preserve">Safer learning</w:t>
              <w:br w:type="textWrapping"/>
            </w:r>
            <w:r w:rsidDel="00000000" w:rsidR="00000000" w:rsidRPr="00000000">
              <w:rPr>
                <w:color w:val="1d272c"/>
                <w:sz w:val="16"/>
                <w:szCs w:val="16"/>
                <w:rtl w:val="0"/>
              </w:rPr>
              <w:t xml:space="preserve">Uses a small test batch before wider or repeated transfer.</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C">
            <w:pPr>
              <w:rPr/>
            </w:pPr>
            <w:r w:rsidDel="00000000" w:rsidR="00000000" w:rsidRPr="00000000">
              <w:rPr>
                <w:b w:val="1"/>
                <w:bCs w:val="1"/>
                <w:color w:val="005b66"/>
                <w:sz w:val="17"/>
                <w:szCs w:val="17"/>
                <w:rtl w:val="0"/>
              </w:rPr>
              <w:t xml:space="preserve">Accessible uptake</w:t>
              <w:br w:type="textWrapping"/>
            </w:r>
            <w:r w:rsidDel="00000000" w:rsidR="00000000" w:rsidRPr="00000000">
              <w:rPr>
                <w:color w:val="1d272c"/>
                <w:sz w:val="16"/>
                <w:szCs w:val="16"/>
                <w:rtl w:val="0"/>
              </w:rPr>
              <w:t xml:space="preserve">Offers a modular and initially non-binding route for SMEs and artisans.</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D">
            <w:pPr>
              <w:rPr/>
            </w:pPr>
            <w:r w:rsidDel="00000000" w:rsidR="00000000" w:rsidRPr="00000000">
              <w:rPr>
                <w:b w:val="1"/>
                <w:bCs w:val="1"/>
                <w:color w:val="005b66"/>
                <w:sz w:val="17"/>
                <w:szCs w:val="17"/>
                <w:rtl w:val="0"/>
              </w:rPr>
              <w:t xml:space="preserve">Stronger trust</w:t>
              <w:br w:type="textWrapping"/>
            </w:r>
            <w:r w:rsidDel="00000000" w:rsidR="00000000" w:rsidRPr="00000000">
              <w:rPr>
                <w:color w:val="1d272c"/>
                <w:sz w:val="16"/>
                <w:szCs w:val="16"/>
                <w:rtl w:val="0"/>
              </w:rPr>
              <w:t xml:space="preserve">Clarifies responsibilities, checks and fallback procedures between partners.</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E">
            <w:pPr>
              <w:rPr/>
            </w:pPr>
            <w:r w:rsidDel="00000000" w:rsidR="00000000" w:rsidRPr="00000000">
              <w:rPr>
                <w:b w:val="1"/>
                <w:bCs w:val="1"/>
                <w:color w:val="005b66"/>
                <w:sz w:val="17"/>
                <w:szCs w:val="17"/>
                <w:rtl w:val="0"/>
              </w:rPr>
              <w:t xml:space="preserve">Circular value creation</w:t>
              <w:br w:type="textWrapping"/>
            </w:r>
            <w:r w:rsidDel="00000000" w:rsidR="00000000" w:rsidRPr="00000000">
              <w:rPr>
                <w:color w:val="1d272c"/>
                <w:sz w:val="16"/>
                <w:szCs w:val="16"/>
                <w:rtl w:val="0"/>
              </w:rPr>
              <w:t xml:space="preserve">Connects residual materials with craft and design capabilities.</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F">
            <w:pPr>
              <w:rPr/>
            </w:pPr>
            <w:r w:rsidDel="00000000" w:rsidR="00000000" w:rsidRPr="00000000">
              <w:rPr>
                <w:b w:val="1"/>
                <w:bCs w:val="1"/>
                <w:color w:val="005b66"/>
                <w:sz w:val="17"/>
                <w:szCs w:val="17"/>
                <w:rtl w:val="0"/>
              </w:rPr>
              <w:t xml:space="preserve">Evidence for scaling</w:t>
              <w:br w:type="textWrapping"/>
            </w:r>
            <w:r w:rsidDel="00000000" w:rsidR="00000000" w:rsidRPr="00000000">
              <w:rPr>
                <w:color w:val="1d272c"/>
                <w:sz w:val="16"/>
                <w:szCs w:val="16"/>
                <w:rtl w:val="0"/>
              </w:rPr>
              <w:t xml:space="preserve">Builds a trail of material sheets, delivery checks, tests and adaptations.</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40">
            <w:pPr>
              <w:rPr/>
            </w:pPr>
            <w:r w:rsidDel="00000000" w:rsidR="00000000" w:rsidRPr="00000000">
              <w:rPr>
                <w:b w:val="1"/>
                <w:bCs w:val="1"/>
                <w:color w:val="005b66"/>
                <w:sz w:val="17"/>
                <w:szCs w:val="17"/>
                <w:rtl w:val="0"/>
              </w:rPr>
              <w:t xml:space="preserve">Transferability</w:t>
              <w:br w:type="textWrapping"/>
            </w:r>
            <w:r w:rsidDel="00000000" w:rsidR="00000000" w:rsidRPr="00000000">
              <w:rPr>
                <w:color w:val="1d272c"/>
                <w:sz w:val="16"/>
                <w:szCs w:val="16"/>
                <w:rtl w:val="0"/>
              </w:rPr>
              <w:t xml:space="preserve">Applies a common logic across three sectors and different regions.</w:t>
            </w:r>
            <w:r w:rsidDel="00000000" w:rsidR="00000000" w:rsidRPr="00000000">
              <w:rPr>
                <w:rtl w:val="0"/>
              </w:rPr>
            </w:r>
          </w:p>
        </w:tc>
      </w:tr>
    </w:tbl>
    <w:p w:rsidR="00000000" w:rsidDel="00000000" w:rsidP="00000000" w:rsidRDefault="00000000" w:rsidRPr="00000000" w14:paraId="00000041">
      <w:pPr>
        <w:pStyle w:val="Heading2"/>
        <w:spacing w:after="40" w:before="80" w:lineRule="auto"/>
        <w:rPr>
          <w:rFonts w:ascii="Tahoma" w:cs="Tahoma" w:eastAsia="Tahoma" w:hAnsi="Tahoma"/>
          <w:color w:val="f36c21"/>
        </w:rPr>
      </w:pPr>
      <w:r w:rsidDel="00000000" w:rsidR="00000000" w:rsidRPr="00000000">
        <w:rPr>
          <w:rtl w:val="0"/>
        </w:rPr>
      </w:r>
    </w:p>
    <w:p w:rsidR="00000000" w:rsidDel="00000000" w:rsidP="00000000" w:rsidRDefault="00000000" w:rsidRPr="00000000" w14:paraId="00000042">
      <w:pPr>
        <w:pStyle w:val="Heading2"/>
        <w:spacing w:after="40" w:before="80" w:lineRule="auto"/>
        <w:rPr/>
      </w:pPr>
      <w:r w:rsidDel="00000000" w:rsidR="00000000" w:rsidRPr="00000000">
        <w:rPr>
          <w:rFonts w:ascii="Tahoma" w:cs="Tahoma" w:eastAsia="Tahoma" w:hAnsi="Tahoma"/>
          <w:color w:val="f36c21"/>
          <w:rtl w:val="0"/>
        </w:rPr>
        <w:t xml:space="preserve">How to start</w:t>
      </w:r>
      <w:r w:rsidDel="00000000" w:rsidR="00000000" w:rsidRPr="00000000">
        <w:rPr>
          <w:rtl w:val="0"/>
        </w:rPr>
      </w:r>
    </w:p>
    <w:tbl>
      <w:tblPr>
        <w:tblStyle w:val="Table12"/>
        <w:tblW w:w="10119.0" w:type="dxa"/>
        <w:jc w:val="center"/>
        <w:tblBorders>
          <w:top w:color="93c63d" w:space="0" w:sz="6" w:val="single"/>
          <w:left w:color="93c63d" w:space="0" w:sz="6" w:val="single"/>
          <w:bottom w:color="93c63d" w:space="0" w:sz="6" w:val="single"/>
          <w:right w:color="93c63d" w:space="0" w:sz="6" w:val="single"/>
          <w:insideH w:color="93c63d" w:space="0" w:sz="6" w:val="single"/>
          <w:insideV w:color="93c63d" w:space="0" w:sz="6" w:val="single"/>
        </w:tblBorders>
        <w:tblLayout w:type="fixed"/>
        <w:tblLook w:val="0400"/>
      </w:tblPr>
      <w:tblGrid>
        <w:gridCol w:w="10119"/>
        <w:tblGridChange w:id="0">
          <w:tblGrid>
            <w:gridCol w:w="10119"/>
          </w:tblGrid>
        </w:tblGridChange>
      </w:tblGrid>
      <w:tr>
        <w:trPr>
          <w:cantSplit w:val="0"/>
          <w:tblHeader w:val="0"/>
        </w:trPr>
        <w:tc>
          <w:tcPr>
            <w:shd w:fill="f2f8e9" w:val="clear"/>
            <w:tcMar>
              <w:top w:w="105.0" w:type="dxa"/>
              <w:left w:w="140.0" w:type="dxa"/>
              <w:bottom w:w="105.0" w:type="dxa"/>
              <w:right w:w="140.0" w:type="dxa"/>
            </w:tcMar>
          </w:tcPr>
          <w:p w:rsidR="00000000" w:rsidDel="00000000" w:rsidP="00000000" w:rsidRDefault="00000000" w:rsidRPr="00000000" w14:paraId="00000043">
            <w:pPr>
              <w:rPr/>
            </w:pPr>
            <w:r w:rsidDel="00000000" w:rsidR="00000000" w:rsidRPr="00000000">
              <w:rPr>
                <w:b w:val="1"/>
                <w:bCs w:val="1"/>
                <w:color w:val="123c56"/>
                <w:sz w:val="17"/>
                <w:szCs w:val="17"/>
                <w:rtl w:val="0"/>
              </w:rPr>
              <w:t xml:space="preserve">Select one residual stream, one industrial supplier and one craft/creative receiver; choose the relevant sector framework and complete the first two steps. Test on a small scale and formalise only when the evidence supports proceeding.</w:t>
            </w:r>
            <w:r w:rsidDel="00000000" w:rsidR="00000000" w:rsidRPr="00000000">
              <w:rPr>
                <w:rtl w:val="0"/>
              </w:rPr>
            </w:r>
          </w:p>
        </w:tc>
      </w:tr>
    </w:tbl>
    <w:p w:rsidR="00000000" w:rsidDel="00000000" w:rsidP="00000000" w:rsidRDefault="00000000" w:rsidRPr="00000000" w14:paraId="00000044">
      <w:pPr>
        <w:spacing w:after="40" w:before="100" w:lineRule="auto"/>
        <w:rPr/>
      </w:pPr>
      <w:r w:rsidDel="00000000" w:rsidR="00000000" w:rsidRPr="00000000">
        <w:rPr>
          <w:b w:val="1"/>
          <w:bCs w:val="1"/>
          <w:color w:val="f36c21"/>
          <w:sz w:val="17"/>
          <w:szCs w:val="17"/>
          <w:rtl w:val="0"/>
        </w:rPr>
        <w:t xml:space="preserve">Important limitation. </w:t>
      </w:r>
      <w:r w:rsidDel="00000000" w:rsidR="00000000" w:rsidRPr="00000000">
        <w:rPr>
          <w:color w:val="1d272c"/>
          <w:sz w:val="17"/>
          <w:szCs w:val="17"/>
          <w:rtl w:val="0"/>
        </w:rPr>
        <w:t xml:space="preserve">Solution 3 provides a cooperation structure; it does not guarantee legal status, technical feasibility, commercial success or economic returns.</w:t>
      </w: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color w:val="005b66"/>
          <w:sz w:val="17"/>
          <w:szCs w:val="17"/>
          <w:rtl w:val="0"/>
        </w:rPr>
        <w:t xml:space="preserve">Use together with: </w:t>
      </w:r>
      <w:hyperlink r:id="rId12">
        <w:r w:rsidDel="00000000" w:rsidR="00000000" w:rsidRPr="00000000">
          <w:rPr>
            <w:b w:val="1"/>
            <w:bCs w:val="1"/>
            <w:color w:val="005b66"/>
            <w:sz w:val="17"/>
            <w:szCs w:val="17"/>
            <w:u w:val="single"/>
            <w:rtl w:val="0"/>
          </w:rPr>
          <w:t xml:space="preserve">SYMCRAFT Solution 3 System Map (open separate document)</w:t>
        </w:r>
      </w:hyperlink>
      <w:r w:rsidDel="00000000" w:rsidR="00000000" w:rsidRPr="00000000">
        <w:rPr>
          <w:color w:val="1d272c"/>
          <w:sz w:val="17"/>
          <w:szCs w:val="17"/>
          <w:rtl w:val="0"/>
        </w:rPr>
        <w:t xml:space="preserve">, the relevant SYMCRAFT digital tool and the detailed source instruments referenced in the full Solution.</w:t>
      </w:r>
      <w:r w:rsidDel="00000000" w:rsidR="00000000" w:rsidRPr="00000000">
        <w:rPr>
          <w:rtl w:val="0"/>
        </w:rPr>
      </w:r>
    </w:p>
    <w:p w:rsidR="00000000" w:rsidDel="00000000" w:rsidP="00000000" w:rsidRDefault="00000000" w:rsidRPr="00000000" w14:paraId="00000046">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47">
      <w:pPr>
        <w:pStyle w:val="Heading2"/>
        <w:rPr/>
      </w:pPr>
      <w:r w:rsidDel="00000000" w:rsidR="00000000" w:rsidRPr="00000000">
        <w:rPr>
          <w:rFonts w:ascii="Tahoma" w:cs="Tahoma" w:eastAsia="Tahoma" w:hAnsi="Tahoma"/>
          <w:rtl w:val="0"/>
        </w:rPr>
        <w:t xml:space="preserve">From interest to uptake</w:t>
      </w:r>
      <w:r w:rsidDel="00000000" w:rsidR="00000000" w:rsidRPr="00000000">
        <w:rPr>
          <w:rtl w:val="0"/>
        </w:rPr>
      </w:r>
    </w:p>
    <w:tbl>
      <w:tblPr>
        <w:tblStyle w:val="Table13"/>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90.0" w:type="dxa"/>
              <w:left w:w="110.0" w:type="dxa"/>
              <w:bottom w:w="90.0" w:type="dxa"/>
              <w:right w:w="110.0" w:type="dxa"/>
            </w:tcMar>
          </w:tcPr>
          <w:p w:rsidR="00000000" w:rsidDel="00000000" w:rsidP="00000000" w:rsidRDefault="00000000" w:rsidRPr="00000000" w14:paraId="00000048">
            <w:pPr>
              <w:rPr/>
            </w:pPr>
            <w:r w:rsidDel="00000000" w:rsidR="00000000" w:rsidRPr="00000000">
              <w:rPr>
                <w:b w:val="1"/>
                <w:bCs w:val="1"/>
                <w:color w:val="f36c21"/>
                <w:sz w:val="16"/>
                <w:szCs w:val="16"/>
                <w:rtl w:val="0"/>
              </w:rPr>
              <w:t xml:space="preserve">Start: </w:t>
            </w:r>
            <w:r w:rsidDel="00000000" w:rsidR="00000000" w:rsidRPr="00000000">
              <w:rPr>
                <w:color w:val="1d272c"/>
                <w:sz w:val="16"/>
                <w:szCs w:val="16"/>
                <w:rtl w:val="0"/>
              </w:rPr>
              <w:t xml:space="preserve">Select one supplier–receiver case and sector model.</w:t>
            </w:r>
            <w:r w:rsidDel="00000000" w:rsidR="00000000" w:rsidRPr="00000000">
              <w:rPr>
                <w:rtl w:val="0"/>
              </w:rPr>
            </w:r>
          </w:p>
        </w:tc>
        <w:tc>
          <w:tcPr>
            <w:shd w:fill="f4f6f7" w:val="clear"/>
            <w:tcMar>
              <w:top w:w="90.0" w:type="dxa"/>
              <w:left w:w="110.0" w:type="dxa"/>
              <w:bottom w:w="90.0" w:type="dxa"/>
              <w:right w:w="110.0" w:type="dxa"/>
            </w:tcMar>
          </w:tcPr>
          <w:p w:rsidR="00000000" w:rsidDel="00000000" w:rsidP="00000000" w:rsidRDefault="00000000" w:rsidRPr="00000000" w14:paraId="00000049">
            <w:pPr>
              <w:rPr/>
            </w:pPr>
            <w:r w:rsidDel="00000000" w:rsidR="00000000" w:rsidRPr="00000000">
              <w:rPr>
                <w:b w:val="1"/>
                <w:bCs w:val="1"/>
                <w:color w:val="f36c21"/>
                <w:sz w:val="16"/>
                <w:szCs w:val="16"/>
                <w:rtl w:val="0"/>
              </w:rPr>
              <w:t xml:space="preserve">Mobilise: </w:t>
            </w:r>
            <w:r w:rsidDel="00000000" w:rsidR="00000000" w:rsidRPr="00000000">
              <w:rPr>
                <w:color w:val="1d272c"/>
                <w:sz w:val="16"/>
                <w:szCs w:val="16"/>
                <w:rtl w:val="0"/>
              </w:rPr>
              <w:t xml:space="preserve">Agree material information, intended use and responsibilities.</w:t>
            </w:r>
            <w:r w:rsidDel="00000000" w:rsidR="00000000" w:rsidRPr="00000000">
              <w:rPr>
                <w:rtl w:val="0"/>
              </w:rPr>
            </w:r>
          </w:p>
        </w:tc>
      </w:tr>
      <w:tr>
        <w:trPr>
          <w:cantSplit w:val="0"/>
          <w:tblHeader w:val="0"/>
        </w:trPr>
        <w:tc>
          <w:tcPr>
            <w:shd w:fill="edf5f2" w:val="clear"/>
            <w:tcMar>
              <w:top w:w="90.0" w:type="dxa"/>
              <w:left w:w="110.0" w:type="dxa"/>
              <w:bottom w:w="90.0" w:type="dxa"/>
              <w:right w:w="110.0" w:type="dxa"/>
            </w:tcMar>
          </w:tcPr>
          <w:p w:rsidR="00000000" w:rsidDel="00000000" w:rsidP="00000000" w:rsidRDefault="00000000" w:rsidRPr="00000000" w14:paraId="0000004A">
            <w:pPr>
              <w:rPr/>
            </w:pPr>
            <w:r w:rsidDel="00000000" w:rsidR="00000000" w:rsidRPr="00000000">
              <w:rPr>
                <w:b w:val="1"/>
                <w:bCs w:val="1"/>
                <w:color w:val="f36c21"/>
                <w:sz w:val="16"/>
                <w:szCs w:val="16"/>
                <w:rtl w:val="0"/>
              </w:rPr>
              <w:t xml:space="preserve">Demonstrate: </w:t>
            </w:r>
            <w:r w:rsidDel="00000000" w:rsidR="00000000" w:rsidRPr="00000000">
              <w:rPr>
                <w:color w:val="1d272c"/>
                <w:sz w:val="16"/>
                <w:szCs w:val="16"/>
                <w:rtl w:val="0"/>
              </w:rPr>
              <w:t xml:space="preserve">Test a limited batch and update the framework from evidence.</w:t>
            </w:r>
            <w:r w:rsidDel="00000000" w:rsidR="00000000" w:rsidRPr="00000000">
              <w:rPr>
                <w:rtl w:val="0"/>
              </w:rPr>
            </w:r>
          </w:p>
        </w:tc>
        <w:tc>
          <w:tcPr>
            <w:shd w:fill="f4f6f7" w:val="clear"/>
            <w:tcMar>
              <w:top w:w="90.0" w:type="dxa"/>
              <w:left w:w="110.0" w:type="dxa"/>
              <w:bottom w:w="90.0" w:type="dxa"/>
              <w:right w:w="110.0" w:type="dxa"/>
            </w:tcMar>
          </w:tcPr>
          <w:p w:rsidR="00000000" w:rsidDel="00000000" w:rsidP="00000000" w:rsidRDefault="00000000" w:rsidRPr="00000000" w14:paraId="0000004B">
            <w:pPr>
              <w:rPr/>
            </w:pPr>
            <w:r w:rsidDel="00000000" w:rsidR="00000000" w:rsidRPr="00000000">
              <w:rPr>
                <w:b w:val="1"/>
                <w:bCs w:val="1"/>
                <w:color w:val="f36c21"/>
                <w:sz w:val="16"/>
                <w:szCs w:val="16"/>
                <w:rtl w:val="0"/>
              </w:rPr>
              <w:t xml:space="preserve">Continue: </w:t>
            </w:r>
            <w:r w:rsidDel="00000000" w:rsidR="00000000" w:rsidRPr="00000000">
              <w:rPr>
                <w:color w:val="1d272c"/>
                <w:sz w:val="16"/>
                <w:szCs w:val="16"/>
                <w:rtl w:val="0"/>
              </w:rPr>
              <w:t xml:space="preserve">Formalise when appropriate; archive the cooperation record.</w:t>
            </w:r>
            <w:r w:rsidDel="00000000" w:rsidR="00000000" w:rsidRPr="00000000">
              <w:rPr>
                <w:rtl w:val="0"/>
              </w:rPr>
            </w:r>
          </w:p>
        </w:tc>
      </w:tr>
    </w:tbl>
    <w:p w:rsidR="00000000" w:rsidDel="00000000" w:rsidP="00000000" w:rsidRDefault="00000000" w:rsidRPr="00000000" w14:paraId="0000004C">
      <w:pPr>
        <w:spacing w:before="120" w:lineRule="auto"/>
        <w:rPr/>
      </w:pPr>
      <w:r w:rsidDel="00000000" w:rsidR="00000000" w:rsidRPr="00000000">
        <w:rPr>
          <w:b w:val="1"/>
          <w:bCs w:val="1"/>
          <w:color w:val="005b66"/>
          <w:sz w:val="16"/>
          <w:szCs w:val="16"/>
          <w:rtl w:val="0"/>
        </w:rPr>
        <w:t xml:space="preserve">Source basis: </w:t>
      </w:r>
      <w:r w:rsidDel="00000000" w:rsidR="00000000" w:rsidRPr="00000000">
        <w:rPr>
          <w:color w:val="1d272c"/>
          <w:sz w:val="16"/>
          <w:szCs w:val="16"/>
          <w:rtl w:val="0"/>
        </w:rPr>
        <w:t xml:space="preserve">D.2.4.1 Pilot Action 3 report; Solution 3; three sector Cooperation Framework Models; Tool 3, Tool 4 and the approved System Map.</w:t>
      </w:r>
      <w:r w:rsidDel="00000000" w:rsidR="00000000" w:rsidRPr="00000000">
        <w:rPr>
          <w:rtl w:val="0"/>
        </w:rPr>
      </w:r>
    </w:p>
    <w:p w:rsidR="00000000" w:rsidDel="00000000" w:rsidP="00000000" w:rsidRDefault="00000000" w:rsidRPr="00000000" w14:paraId="0000004D">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4E">
      <w:pPr>
        <w:pStyle w:val="Heading2"/>
        <w:rPr/>
      </w:pPr>
      <w:r w:rsidDel="00000000" w:rsidR="00000000" w:rsidRPr="00000000">
        <w:rPr>
          <w:rFonts w:ascii="Tahoma" w:cs="Tahoma" w:eastAsia="Tahoma" w:hAnsi="Tahoma"/>
          <w:rtl w:val="0"/>
        </w:rPr>
        <w:t xml:space="preserve">Uptake and monitoring questions</w:t>
      </w:r>
      <w:r w:rsidDel="00000000" w:rsidR="00000000" w:rsidRPr="00000000">
        <w:rPr>
          <w:rtl w:val="0"/>
        </w:rPr>
      </w:r>
    </w:p>
    <w:tbl>
      <w:tblPr>
        <w:tblStyle w:val="Table14"/>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85.0" w:type="dxa"/>
              <w:left w:w="105.0" w:type="dxa"/>
              <w:bottom w:w="85.0" w:type="dxa"/>
              <w:right w:w="105.0" w:type="dxa"/>
            </w:tcMar>
          </w:tcPr>
          <w:p w:rsidR="00000000" w:rsidDel="00000000" w:rsidP="00000000" w:rsidRDefault="00000000" w:rsidRPr="00000000" w14:paraId="0000004F">
            <w:pPr>
              <w:rPr/>
            </w:pPr>
            <w:r w:rsidDel="00000000" w:rsidR="00000000" w:rsidRPr="00000000">
              <w:rPr>
                <w:b w:val="1"/>
                <w:bCs w:val="1"/>
                <w:color w:val="005b66"/>
                <w:sz w:val="15"/>
                <w:szCs w:val="15"/>
                <w:rtl w:val="0"/>
              </w:rPr>
              <w:t xml:space="preserve">Who benefits?</w:t>
              <w:br w:type="textWrapping"/>
            </w:r>
            <w:r w:rsidDel="00000000" w:rsidR="00000000" w:rsidRPr="00000000">
              <w:rPr>
                <w:color w:val="1d272c"/>
                <w:sz w:val="14"/>
                <w:szCs w:val="14"/>
                <w:rtl w:val="0"/>
              </w:rPr>
              <w:t xml:space="preserve">Industrial suppliers, artisans, craft SMEs, facilitators and qualified technical/legal advisers.</w:t>
            </w:r>
            <w:r w:rsidDel="00000000" w:rsidR="00000000" w:rsidRPr="00000000">
              <w:rPr>
                <w:rtl w:val="0"/>
              </w:rPr>
            </w:r>
          </w:p>
        </w:tc>
        <w:tc>
          <w:tcPr>
            <w:shd w:fill="f4f6f7" w:val="clear"/>
            <w:tcMar>
              <w:top w:w="85.0" w:type="dxa"/>
              <w:left w:w="105.0" w:type="dxa"/>
              <w:bottom w:w="85.0" w:type="dxa"/>
              <w:right w:w="105.0" w:type="dxa"/>
            </w:tcMar>
          </w:tcPr>
          <w:p w:rsidR="00000000" w:rsidDel="00000000" w:rsidP="00000000" w:rsidRDefault="00000000" w:rsidRPr="00000000" w14:paraId="00000050">
            <w:pPr>
              <w:rPr/>
            </w:pPr>
            <w:r w:rsidDel="00000000" w:rsidR="00000000" w:rsidRPr="00000000">
              <w:rPr>
                <w:b w:val="1"/>
                <w:bCs w:val="1"/>
                <w:color w:val="005b66"/>
                <w:sz w:val="15"/>
                <w:szCs w:val="15"/>
                <w:rtl w:val="0"/>
              </w:rPr>
              <w:t xml:space="preserve">What to monitor?</w:t>
              <w:br w:type="textWrapping"/>
            </w:r>
            <w:r w:rsidDel="00000000" w:rsidR="00000000" w:rsidRPr="00000000">
              <w:rPr>
                <w:color w:val="1d272c"/>
                <w:sz w:val="14"/>
                <w:szCs w:val="14"/>
                <w:rtl w:val="0"/>
              </w:rPr>
              <w:t xml:space="preserve">Specifications completed; deliveries checked; deviations resolved; test batches assessed; frameworks revised; agreements used where appropriate.</w:t>
            </w:r>
            <w:r w:rsidDel="00000000" w:rsidR="00000000" w:rsidRPr="00000000">
              <w:rPr>
                <w:rtl w:val="0"/>
              </w:rPr>
            </w:r>
          </w:p>
        </w:tc>
      </w:tr>
      <w:tr>
        <w:trPr>
          <w:cantSplit w:val="0"/>
          <w:tblHeader w:val="0"/>
        </w:trPr>
        <w:tc>
          <w:tcPr>
            <w:shd w:fill="edf5f2" w:val="clear"/>
            <w:tcMar>
              <w:top w:w="85.0" w:type="dxa"/>
              <w:left w:w="105.0" w:type="dxa"/>
              <w:bottom w:w="85.0" w:type="dxa"/>
              <w:right w:w="105.0" w:type="dxa"/>
            </w:tcMar>
          </w:tcPr>
          <w:p w:rsidR="00000000" w:rsidDel="00000000" w:rsidP="00000000" w:rsidRDefault="00000000" w:rsidRPr="00000000" w14:paraId="00000051">
            <w:pPr>
              <w:rPr/>
            </w:pPr>
            <w:r w:rsidDel="00000000" w:rsidR="00000000" w:rsidRPr="00000000">
              <w:rPr>
                <w:b w:val="1"/>
                <w:bCs w:val="1"/>
                <w:color w:val="005b66"/>
                <w:sz w:val="15"/>
                <w:szCs w:val="15"/>
                <w:rtl w:val="0"/>
              </w:rPr>
              <w:t xml:space="preserve">When to proceed?</w:t>
              <w:br w:type="textWrapping"/>
            </w:r>
            <w:r w:rsidDel="00000000" w:rsidR="00000000" w:rsidRPr="00000000">
              <w:rPr>
                <w:color w:val="1d272c"/>
                <w:sz w:val="14"/>
                <w:szCs w:val="14"/>
                <w:rtl w:val="0"/>
              </w:rPr>
              <w:t xml:space="preserve">Only when the case is Green, or Yellow issues have been resolved and recorded.</w:t>
            </w:r>
            <w:r w:rsidDel="00000000" w:rsidR="00000000" w:rsidRPr="00000000">
              <w:rPr>
                <w:rtl w:val="0"/>
              </w:rPr>
            </w:r>
          </w:p>
        </w:tc>
        <w:tc>
          <w:tcPr>
            <w:shd w:fill="f4f6f7" w:val="clear"/>
            <w:tcMar>
              <w:top w:w="85.0" w:type="dxa"/>
              <w:left w:w="105.0" w:type="dxa"/>
              <w:bottom w:w="85.0" w:type="dxa"/>
              <w:right w:w="105.0" w:type="dxa"/>
            </w:tcMar>
          </w:tcPr>
          <w:p w:rsidR="00000000" w:rsidDel="00000000" w:rsidP="00000000" w:rsidRDefault="00000000" w:rsidRPr="00000000" w14:paraId="00000052">
            <w:pPr>
              <w:rPr/>
            </w:pPr>
            <w:r w:rsidDel="00000000" w:rsidR="00000000" w:rsidRPr="00000000">
              <w:rPr>
                <w:b w:val="1"/>
                <w:bCs w:val="1"/>
                <w:color w:val="005b66"/>
                <w:sz w:val="15"/>
                <w:szCs w:val="15"/>
                <w:rtl w:val="0"/>
              </w:rPr>
              <w:t xml:space="preserve">Next decision</w:t>
              <w:br w:type="textWrapping"/>
            </w:r>
            <w:r w:rsidDel="00000000" w:rsidR="00000000" w:rsidRPr="00000000">
              <w:rPr>
                <w:color w:val="1d272c"/>
                <w:sz w:val="14"/>
                <w:szCs w:val="14"/>
                <w:rtl w:val="0"/>
              </w:rPr>
              <w:t xml:space="preserve">Continue, adapt, formalise or stop the affected material transfer.</w:t>
            </w:r>
            <w:r w:rsidDel="00000000" w:rsidR="00000000" w:rsidRPr="00000000">
              <w:rPr>
                <w:rtl w:val="0"/>
              </w:rPr>
            </w:r>
          </w:p>
        </w:tc>
      </w:tr>
    </w:tbl>
    <w:p w:rsidR="00000000" w:rsidDel="00000000" w:rsidP="00000000" w:rsidRDefault="00000000" w:rsidRPr="00000000" w14:paraId="00000053">
      <w:pPr>
        <w:pStyle w:val="Heading2"/>
        <w:spacing w:after="40" w:before="80" w:lineRule="auto"/>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540" w:hRule="atLeast"/>
          <w:tblHeader w:val="0"/>
        </w:trPr>
        <w:tc>
          <w:tcPr>
            <w:tcBorders>
              <w:top w:color="000000" w:space="0" w:sz="0" w:val="nil"/>
              <w:left w:color="000000" w:space="0" w:sz="0" w:val="nil"/>
              <w:bottom w:color="000000" w:space="0" w:sz="0" w:val="nil"/>
              <w:right w:color="000000" w:space="0" w:sz="0" w:val="nil"/>
            </w:tcBorders>
            <w:shd w:fill="005b66" w:val="clear"/>
            <w:tcMar>
              <w:top w:w="120.0" w:type="dxa"/>
              <w:left w:w="160.0" w:type="dxa"/>
              <w:bottom w:w="120.0" w:type="dxa"/>
              <w:right w:w="100.0" w:type="dxa"/>
            </w:tcMar>
            <w:vAlign w:val="top"/>
          </w:tcPr>
          <w:p w:rsidR="00000000" w:rsidDel="00000000" w:rsidP="00000000" w:rsidRDefault="00000000" w:rsidRPr="00000000" w14:paraId="0000005A">
            <w:pPr>
              <w:spacing w:after="0" w:line="276" w:lineRule="auto"/>
              <w:rPr>
                <w:b w:val="1"/>
                <w:bCs w:val="1"/>
                <w:color w:val="ffffff"/>
                <w:sz w:val="26"/>
                <w:szCs w:val="26"/>
              </w:rPr>
            </w:pPr>
            <w:r w:rsidDel="00000000" w:rsidR="00000000" w:rsidRPr="00000000">
              <w:rPr>
                <w:b w:val="1"/>
                <w:bCs w:val="1"/>
                <w:color w:val="ffffff"/>
                <w:sz w:val="26"/>
                <w:szCs w:val="26"/>
                <w:rtl w:val="0"/>
              </w:rPr>
              <w:t xml:space="preserve">FREQUENTLY ASKED QUESTIONS</w:t>
            </w:r>
          </w:p>
        </w:tc>
      </w:tr>
    </w:tbl>
    <w:p w:rsidR="00000000" w:rsidDel="00000000" w:rsidP="00000000" w:rsidRDefault="00000000" w:rsidRPr="00000000" w14:paraId="0000005B">
      <w:pPr>
        <w:spacing w:after="0" w:line="276" w:lineRule="auto"/>
        <w:rPr>
          <w:sz w:val="6"/>
          <w:szCs w:val="6"/>
        </w:rPr>
      </w:pPr>
      <w:r w:rsidDel="00000000" w:rsidR="00000000" w:rsidRPr="00000000">
        <w:rPr>
          <w:sz w:val="6"/>
          <w:szCs w:val="6"/>
          <w:rtl w:val="0"/>
        </w:rPr>
        <w:t xml:space="preserve"> </w:t>
      </w:r>
    </w:p>
    <w:tbl>
      <w:tblPr>
        <w:tblStyle w:val="Table1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40"/>
        <w:tblGridChange w:id="0">
          <w:tblGrid>
            <w:gridCol w:w="4455"/>
            <w:gridCol w:w="444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5C">
            <w:pPr>
              <w:spacing w:after="0" w:line="276" w:lineRule="auto"/>
              <w:rPr>
                <w:b w:val="1"/>
                <w:bCs w:val="1"/>
                <w:color w:val="006b73"/>
              </w:rPr>
            </w:pPr>
            <w:r w:rsidDel="00000000" w:rsidR="00000000" w:rsidRPr="00000000">
              <w:rPr>
                <w:b w:val="1"/>
                <w:bCs w:val="1"/>
                <w:color w:val="006b73"/>
                <w:rtl w:val="0"/>
              </w:rPr>
              <w:t xml:space="preserve">PURPOSE</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5E">
            <w:pPr>
              <w:spacing w:after="20" w:line="276" w:lineRule="auto"/>
              <w:rPr>
                <w:b w:val="1"/>
                <w:bCs w:val="1"/>
                <w:color w:val="005b66"/>
              </w:rPr>
            </w:pPr>
            <w:r w:rsidDel="00000000" w:rsidR="00000000" w:rsidRPr="00000000">
              <w:rPr>
                <w:b w:val="1"/>
                <w:bCs w:val="1"/>
                <w:color w:val="005b66"/>
                <w:rtl w:val="0"/>
              </w:rPr>
              <w:t xml:space="preserve">What does Solution 3*** organise?</w:t>
            </w:r>
          </w:p>
          <w:p w:rsidR="00000000" w:rsidDel="00000000" w:rsidP="00000000" w:rsidRDefault="00000000" w:rsidRPr="00000000" w14:paraId="0000005F">
            <w:pPr>
              <w:spacing w:after="0" w:line="276" w:lineRule="auto"/>
              <w:rPr>
                <w:color w:val="1d272c"/>
                <w:sz w:val="17"/>
                <w:szCs w:val="17"/>
              </w:rPr>
            </w:pPr>
            <w:r w:rsidDel="00000000" w:rsidR="00000000" w:rsidRPr="00000000">
              <w:rPr>
                <w:color w:val="1d272c"/>
                <w:sz w:val="17"/>
                <w:szCs w:val="17"/>
                <w:rtl w:val="0"/>
              </w:rPr>
              <w:t xml:space="preserve">The conditions for a tested, documented cooperation between an industrial supplier and a craft receiver.</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0">
            <w:pPr>
              <w:spacing w:after="20" w:line="276" w:lineRule="auto"/>
              <w:rPr>
                <w:b w:val="1"/>
                <w:bCs w:val="1"/>
                <w:color w:val="005b66"/>
              </w:rPr>
            </w:pPr>
            <w:r w:rsidDel="00000000" w:rsidR="00000000" w:rsidRPr="00000000">
              <w:rPr>
                <w:b w:val="1"/>
                <w:bCs w:val="1"/>
                <w:color w:val="005b66"/>
                <w:rtl w:val="0"/>
              </w:rPr>
              <w:t xml:space="preserve">Which framework should we choose?</w:t>
            </w:r>
          </w:p>
          <w:p w:rsidR="00000000" w:rsidDel="00000000" w:rsidP="00000000" w:rsidRDefault="00000000" w:rsidRPr="00000000" w14:paraId="00000061">
            <w:pPr>
              <w:spacing w:after="0" w:line="276" w:lineRule="auto"/>
              <w:rPr>
                <w:color w:val="1d272c"/>
                <w:sz w:val="17"/>
                <w:szCs w:val="17"/>
              </w:rPr>
            </w:pPr>
            <w:r w:rsidDel="00000000" w:rsidR="00000000" w:rsidRPr="00000000">
              <w:rPr>
                <w:color w:val="1d272c"/>
                <w:sz w:val="17"/>
                <w:szCs w:val="17"/>
                <w:rtl w:val="0"/>
              </w:rPr>
              <w:t xml:space="preserve">Use the Agro-food, Textile or Wood &amp; Furniture model that fits the material and intended use.</w:t>
            </w:r>
          </w:p>
        </w:tc>
      </w:tr>
    </w:tbl>
    <w:p w:rsidR="00000000" w:rsidDel="00000000" w:rsidP="00000000" w:rsidRDefault="00000000" w:rsidRPr="00000000" w14:paraId="00000062">
      <w:pPr>
        <w:spacing w:after="0" w:line="276" w:lineRule="auto"/>
        <w:rPr>
          <w:sz w:val="4"/>
          <w:szCs w:val="4"/>
        </w:rPr>
      </w:pPr>
      <w:r w:rsidDel="00000000" w:rsidR="00000000" w:rsidRPr="00000000">
        <w:rPr>
          <w:sz w:val="4"/>
          <w:szCs w:val="4"/>
          <w:rtl w:val="0"/>
        </w:rPr>
        <w:t xml:space="preserve"> </w:t>
      </w:r>
    </w:p>
    <w:tbl>
      <w:tblPr>
        <w:tblStyle w:val="Table1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85"/>
        <w:gridCol w:w="2940"/>
        <w:tblGridChange w:id="0">
          <w:tblGrid>
            <w:gridCol w:w="2970"/>
            <w:gridCol w:w="2985"/>
            <w:gridCol w:w="2940"/>
          </w:tblGrid>
        </w:tblGridChange>
      </w:tblGrid>
      <w:tr>
        <w:trPr>
          <w:cantSplit w:val="0"/>
          <w:trHeight w:val="330" w:hRule="atLeast"/>
          <w:tblHeader w:val="0"/>
        </w:trPr>
        <w:tc>
          <w:tcPr>
            <w:gridSpan w:val="3"/>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63">
            <w:pPr>
              <w:spacing w:after="0" w:line="276" w:lineRule="auto"/>
              <w:rPr>
                <w:b w:val="1"/>
                <w:bCs w:val="1"/>
                <w:color w:val="006b73"/>
              </w:rPr>
            </w:pPr>
            <w:r w:rsidDel="00000000" w:rsidR="00000000" w:rsidRPr="00000000">
              <w:rPr>
                <w:b w:val="1"/>
                <w:bCs w:val="1"/>
                <w:color w:val="006b73"/>
                <w:rtl w:val="0"/>
              </w:rPr>
              <w:t xml:space="preserve">FIRST AGREEMENT</w:t>
            </w:r>
          </w:p>
        </w:tc>
      </w:tr>
      <w:tr>
        <w:trPr>
          <w:cantSplit w:val="0"/>
          <w:trHeight w:val="1155"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6">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What is the minimum starting point?</w:t>
            </w:r>
          </w:p>
          <w:p w:rsidR="00000000" w:rsidDel="00000000" w:rsidP="00000000" w:rsidRDefault="00000000" w:rsidRPr="00000000" w14:paraId="00000067">
            <w:pPr>
              <w:spacing w:after="0" w:line="276" w:lineRule="auto"/>
              <w:rPr>
                <w:color w:val="1d272c"/>
              </w:rPr>
            </w:pPr>
            <w:r w:rsidDel="00000000" w:rsidR="00000000" w:rsidRPr="00000000">
              <w:rPr>
                <w:color w:val="1d272c"/>
                <w:rtl w:val="0"/>
              </w:rPr>
              <w:t xml:space="preserve">Name one supplier, one receiver, one residual stream, an intended use and a sector framework.</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8">
            <w:pPr>
              <w:spacing w:after="20" w:line="276" w:lineRule="auto"/>
              <w:rPr>
                <w:b w:val="1"/>
                <w:bCs w:val="1"/>
                <w:color w:val="005b66"/>
                <w:sz w:val="17"/>
                <w:szCs w:val="17"/>
              </w:rPr>
            </w:pPr>
            <w:r w:rsidDel="00000000" w:rsidR="00000000" w:rsidRPr="00000000">
              <w:rPr>
                <w:b w:val="1"/>
                <w:bCs w:val="1"/>
                <w:color w:val="005b66"/>
                <w:sz w:val="17"/>
                <w:szCs w:val="17"/>
                <w:rtl w:val="0"/>
              </w:rPr>
              <w:t xml:space="preserve">Is the framework already a contract?</w:t>
            </w:r>
          </w:p>
          <w:p w:rsidR="00000000" w:rsidDel="00000000" w:rsidP="00000000" w:rsidRDefault="00000000" w:rsidRPr="00000000" w14:paraId="00000069">
            <w:pPr>
              <w:spacing w:after="0" w:line="276" w:lineRule="auto"/>
              <w:rPr>
                <w:color w:val="1d272c"/>
              </w:rPr>
            </w:pPr>
            <w:r w:rsidDel="00000000" w:rsidR="00000000" w:rsidRPr="00000000">
              <w:rPr>
                <w:color w:val="1d272c"/>
                <w:rtl w:val="0"/>
              </w:rPr>
              <w:t xml:space="preserve">It can guide early discussion; binding use needs adaptation and case-specific national review.</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A">
            <w:pPr>
              <w:spacing w:after="20" w:line="276" w:lineRule="auto"/>
              <w:rPr>
                <w:b w:val="1"/>
                <w:bCs w:val="1"/>
                <w:color w:val="005b66"/>
                <w:sz w:val="17"/>
                <w:szCs w:val="17"/>
              </w:rPr>
            </w:pPr>
            <w:r w:rsidDel="00000000" w:rsidR="00000000" w:rsidRPr="00000000">
              <w:rPr>
                <w:b w:val="1"/>
                <w:bCs w:val="1"/>
                <w:color w:val="005b66"/>
                <w:sz w:val="17"/>
                <w:szCs w:val="17"/>
                <w:rtl w:val="0"/>
              </w:rPr>
              <w:t xml:space="preserve">Can a one-off transfer use it?</w:t>
            </w:r>
          </w:p>
          <w:p w:rsidR="00000000" w:rsidDel="00000000" w:rsidP="00000000" w:rsidRDefault="00000000" w:rsidRPr="00000000" w14:paraId="0000006B">
            <w:pPr>
              <w:spacing w:after="0" w:line="276" w:lineRule="auto"/>
              <w:rPr>
                <w:color w:val="1d272c"/>
              </w:rPr>
            </w:pPr>
            <w:r w:rsidDel="00000000" w:rsidR="00000000" w:rsidRPr="00000000">
              <w:rPr>
                <w:color w:val="1d272c"/>
                <w:rtl w:val="0"/>
              </w:rPr>
              <w:t xml:space="preserve">Yes; record the conditions even without plans to repeat the transfer.</w:t>
            </w:r>
          </w:p>
        </w:tc>
      </w:tr>
    </w:tbl>
    <w:p w:rsidR="00000000" w:rsidDel="00000000" w:rsidP="00000000" w:rsidRDefault="00000000" w:rsidRPr="00000000" w14:paraId="0000006C">
      <w:pPr>
        <w:spacing w:after="0" w:line="276" w:lineRule="auto"/>
        <w:rPr>
          <w:sz w:val="4"/>
          <w:szCs w:val="4"/>
        </w:rPr>
      </w:pPr>
      <w:r w:rsidDel="00000000" w:rsidR="00000000" w:rsidRPr="00000000">
        <w:rPr>
          <w:sz w:val="4"/>
          <w:szCs w:val="4"/>
          <w:rtl w:val="0"/>
        </w:rPr>
        <w:t xml:space="preserve"> </w:t>
      </w:r>
    </w:p>
    <w:tbl>
      <w:tblPr>
        <w:tblStyle w:val="Table1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40"/>
        <w:tblGridChange w:id="0">
          <w:tblGrid>
            <w:gridCol w:w="4455"/>
            <w:gridCol w:w="444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6D">
            <w:pPr>
              <w:spacing w:after="0" w:line="276" w:lineRule="auto"/>
              <w:rPr>
                <w:b w:val="1"/>
                <w:bCs w:val="1"/>
                <w:color w:val="006b73"/>
              </w:rPr>
            </w:pPr>
            <w:r w:rsidDel="00000000" w:rsidR="00000000" w:rsidRPr="00000000">
              <w:rPr>
                <w:b w:val="1"/>
                <w:bCs w:val="1"/>
                <w:color w:val="006b73"/>
                <w:rtl w:val="0"/>
              </w:rPr>
              <w:t xml:space="preserve">MATERIAL &amp; LEGAL STATUS</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F">
            <w:pPr>
              <w:spacing w:after="20" w:line="276" w:lineRule="auto"/>
              <w:rPr>
                <w:b w:val="1"/>
                <w:bCs w:val="1"/>
                <w:color w:val="005b66"/>
              </w:rPr>
            </w:pPr>
            <w:r w:rsidDel="00000000" w:rsidR="00000000" w:rsidRPr="00000000">
              <w:rPr>
                <w:b w:val="1"/>
                <w:bCs w:val="1"/>
                <w:color w:val="005b66"/>
                <w:rtl w:val="0"/>
              </w:rPr>
              <w:t xml:space="preserve">What material information is essential?</w:t>
            </w:r>
          </w:p>
          <w:p w:rsidR="00000000" w:rsidDel="00000000" w:rsidP="00000000" w:rsidRDefault="00000000" w:rsidRPr="00000000" w14:paraId="00000070">
            <w:pPr>
              <w:spacing w:after="0" w:line="276" w:lineRule="auto"/>
              <w:rPr>
                <w:color w:val="1d272c"/>
                <w:sz w:val="17"/>
                <w:szCs w:val="17"/>
              </w:rPr>
            </w:pPr>
            <w:r w:rsidDel="00000000" w:rsidR="00000000" w:rsidRPr="00000000">
              <w:rPr>
                <w:color w:val="1d272c"/>
                <w:sz w:val="17"/>
                <w:szCs w:val="17"/>
                <w:rtl w:val="0"/>
              </w:rPr>
              <w:t xml:space="preserve">Specify origin, composition, quality, variability, treatments, safety issues and acceptance criteria.</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1">
            <w:pPr>
              <w:spacing w:after="20" w:line="276" w:lineRule="auto"/>
              <w:rPr>
                <w:b w:val="1"/>
                <w:bCs w:val="1"/>
                <w:color w:val="005b66"/>
              </w:rPr>
            </w:pPr>
            <w:r w:rsidDel="00000000" w:rsidR="00000000" w:rsidRPr="00000000">
              <w:rPr>
                <w:b w:val="1"/>
                <w:bCs w:val="1"/>
                <w:color w:val="005b66"/>
                <w:rtl w:val="0"/>
              </w:rPr>
              <w:t xml:space="preserve">Who determines the material status?</w:t>
            </w:r>
          </w:p>
          <w:p w:rsidR="00000000" w:rsidDel="00000000" w:rsidP="00000000" w:rsidRDefault="00000000" w:rsidRPr="00000000" w14:paraId="00000072">
            <w:pPr>
              <w:spacing w:after="0" w:line="276" w:lineRule="auto"/>
              <w:rPr>
                <w:color w:val="1d272c"/>
                <w:sz w:val="17"/>
                <w:szCs w:val="17"/>
              </w:rPr>
            </w:pPr>
            <w:r w:rsidDel="00000000" w:rsidR="00000000" w:rsidRPr="00000000">
              <w:rPr>
                <w:color w:val="1d272c"/>
                <w:sz w:val="17"/>
                <w:szCs w:val="17"/>
                <w:rtl w:val="0"/>
              </w:rPr>
              <w:t xml:space="preserve">The parties establish it from evidence and applicable national rules, with qualified advice where needed.</w:t>
            </w:r>
          </w:p>
        </w:tc>
      </w:tr>
    </w:tbl>
    <w:p w:rsidR="00000000" w:rsidDel="00000000" w:rsidP="00000000" w:rsidRDefault="00000000" w:rsidRPr="00000000" w14:paraId="00000073">
      <w:pPr>
        <w:spacing w:after="0" w:line="276" w:lineRule="auto"/>
        <w:rPr>
          <w:sz w:val="4"/>
          <w:szCs w:val="4"/>
        </w:rPr>
      </w:pPr>
      <w:r w:rsidDel="00000000" w:rsidR="00000000" w:rsidRPr="00000000">
        <w:rPr>
          <w:sz w:val="4"/>
          <w:szCs w:val="4"/>
          <w:rtl w:val="0"/>
        </w:rPr>
        <w:t xml:space="preserve"> </w:t>
      </w:r>
    </w:p>
    <w:tbl>
      <w:tblPr>
        <w:tblStyle w:val="Table19"/>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485"/>
        <w:tblGridChange w:id="0">
          <w:tblGrid>
            <w:gridCol w:w="4410"/>
            <w:gridCol w:w="4485"/>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74">
            <w:pPr>
              <w:spacing w:after="0" w:line="276" w:lineRule="auto"/>
              <w:rPr>
                <w:b w:val="1"/>
                <w:bCs w:val="1"/>
                <w:color w:val="006b73"/>
              </w:rPr>
            </w:pPr>
            <w:r w:rsidDel="00000000" w:rsidR="00000000" w:rsidRPr="00000000">
              <w:rPr>
                <w:b w:val="1"/>
                <w:bCs w:val="1"/>
                <w:color w:val="006b73"/>
                <w:rtl w:val="0"/>
              </w:rPr>
              <w:t xml:space="preserve">TRANSFER &amp; RESPONSIBILITIES</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6">
            <w:pPr>
              <w:spacing w:after="20" w:line="276" w:lineRule="auto"/>
              <w:rPr>
                <w:b w:val="1"/>
                <w:bCs w:val="1"/>
                <w:color w:val="005b66"/>
              </w:rPr>
            </w:pPr>
            <w:r w:rsidDel="00000000" w:rsidR="00000000" w:rsidRPr="00000000">
              <w:rPr>
                <w:b w:val="1"/>
                <w:bCs w:val="1"/>
                <w:color w:val="005b66"/>
                <w:rtl w:val="0"/>
              </w:rPr>
              <w:t xml:space="preserve">What must be agreed before transfer?</w:t>
            </w:r>
          </w:p>
          <w:p w:rsidR="00000000" w:rsidDel="00000000" w:rsidP="00000000" w:rsidRDefault="00000000" w:rsidRPr="00000000" w14:paraId="00000077">
            <w:pPr>
              <w:spacing w:after="0" w:line="276" w:lineRule="auto"/>
              <w:rPr>
                <w:color w:val="1d272c"/>
                <w:sz w:val="17"/>
                <w:szCs w:val="17"/>
              </w:rPr>
            </w:pPr>
            <w:r w:rsidDel="00000000" w:rsidR="00000000" w:rsidRPr="00000000">
              <w:rPr>
                <w:color w:val="1d272c"/>
                <w:sz w:val="17"/>
                <w:szCs w:val="17"/>
                <w:rtl w:val="0"/>
              </w:rPr>
              <w:t xml:space="preserve">Acceptance, ownership or possession, delivery point, transport, storage, costs and fallback.</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8">
            <w:pPr>
              <w:spacing w:after="20" w:line="276" w:lineRule="auto"/>
              <w:rPr>
                <w:b w:val="1"/>
                <w:bCs w:val="1"/>
                <w:color w:val="005b66"/>
              </w:rPr>
            </w:pPr>
            <w:r w:rsidDel="00000000" w:rsidR="00000000" w:rsidRPr="00000000">
              <w:rPr>
                <w:b w:val="1"/>
                <w:bCs w:val="1"/>
                <w:color w:val="005b66"/>
                <w:rtl w:val="0"/>
              </w:rPr>
              <w:t xml:space="preserve">What if a batch fails the specification?</w:t>
            </w:r>
          </w:p>
          <w:p w:rsidR="00000000" w:rsidDel="00000000" w:rsidP="00000000" w:rsidRDefault="00000000" w:rsidRPr="00000000" w14:paraId="00000079">
            <w:pPr>
              <w:spacing w:after="0" w:line="276" w:lineRule="auto"/>
              <w:rPr>
                <w:color w:val="1d272c"/>
                <w:sz w:val="17"/>
                <w:szCs w:val="17"/>
              </w:rPr>
            </w:pPr>
            <w:r w:rsidDel="00000000" w:rsidR="00000000" w:rsidRPr="00000000">
              <w:rPr>
                <w:color w:val="1d272c"/>
                <w:sz w:val="17"/>
                <w:szCs w:val="17"/>
                <w:rtl w:val="0"/>
              </w:rPr>
              <w:t xml:space="preserve">Record the deviation, isolate it if needed, then apply the agreed correction, return or stop procedure.</w:t>
            </w:r>
          </w:p>
        </w:tc>
      </w:tr>
    </w:tbl>
    <w:p w:rsidR="00000000" w:rsidDel="00000000" w:rsidP="00000000" w:rsidRDefault="00000000" w:rsidRPr="00000000" w14:paraId="0000007A">
      <w:pPr>
        <w:spacing w:after="0" w:line="276" w:lineRule="auto"/>
        <w:rPr>
          <w:sz w:val="4"/>
          <w:szCs w:val="4"/>
        </w:rPr>
      </w:pPr>
      <w:r w:rsidDel="00000000" w:rsidR="00000000" w:rsidRPr="00000000">
        <w:rPr>
          <w:sz w:val="4"/>
          <w:szCs w:val="4"/>
          <w:rtl w:val="0"/>
        </w:rPr>
        <w:t xml:space="preserve"> </w:t>
      </w:r>
    </w:p>
    <w:tbl>
      <w:tblPr>
        <w:tblStyle w:val="Table2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3000"/>
        <w:gridCol w:w="2970"/>
        <w:tblGridChange w:id="0">
          <w:tblGrid>
            <w:gridCol w:w="2925"/>
            <w:gridCol w:w="3000"/>
            <w:gridCol w:w="2970"/>
          </w:tblGrid>
        </w:tblGridChange>
      </w:tblGrid>
      <w:tr>
        <w:trPr>
          <w:cantSplit w:val="0"/>
          <w:trHeight w:val="330" w:hRule="atLeast"/>
          <w:tblHeader w:val="0"/>
        </w:trPr>
        <w:tc>
          <w:tcPr>
            <w:gridSpan w:val="3"/>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7B">
            <w:pPr>
              <w:spacing w:after="0" w:line="276" w:lineRule="auto"/>
              <w:rPr>
                <w:b w:val="1"/>
                <w:bCs w:val="1"/>
                <w:color w:val="006b73"/>
              </w:rPr>
            </w:pPr>
            <w:r w:rsidDel="00000000" w:rsidR="00000000" w:rsidRPr="00000000">
              <w:rPr>
                <w:b w:val="1"/>
                <w:bCs w:val="1"/>
                <w:color w:val="006b73"/>
                <w:rtl w:val="0"/>
              </w:rPr>
              <w:t xml:space="preserve">SMALL TEST &amp; DECISION</w:t>
            </w:r>
          </w:p>
        </w:tc>
      </w:tr>
      <w:tr>
        <w:trPr>
          <w:cantSplit w:val="0"/>
          <w:trHeight w:val="132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E">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Why start with a small batch?</w:t>
            </w:r>
          </w:p>
          <w:p w:rsidR="00000000" w:rsidDel="00000000" w:rsidP="00000000" w:rsidRDefault="00000000" w:rsidRPr="00000000" w14:paraId="0000007F">
            <w:pPr>
              <w:spacing w:after="0" w:line="276" w:lineRule="auto"/>
              <w:rPr>
                <w:color w:val="1d272c"/>
              </w:rPr>
            </w:pPr>
            <w:r w:rsidDel="00000000" w:rsidR="00000000" w:rsidRPr="00000000">
              <w:rPr>
                <w:color w:val="1d272c"/>
                <w:rtl w:val="0"/>
              </w:rPr>
              <w:t xml:space="preserve">To check quality, handling, usability, costs and roles before repeated or larger transfers.</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0">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What do Green, Yellow and Red mean?</w:t>
            </w:r>
          </w:p>
          <w:p w:rsidR="00000000" w:rsidDel="00000000" w:rsidP="00000000" w:rsidRDefault="00000000" w:rsidRPr="00000000" w14:paraId="00000081">
            <w:pPr>
              <w:spacing w:after="0" w:line="276" w:lineRule="auto"/>
              <w:rPr>
                <w:color w:val="1d272c"/>
              </w:rPr>
            </w:pPr>
            <w:r w:rsidDel="00000000" w:rsidR="00000000" w:rsidRPr="00000000">
              <w:rPr>
                <w:color w:val="1d272c"/>
                <w:rtl w:val="0"/>
              </w:rPr>
              <w:t xml:space="preserve">Green: proceed as documented. Yellow: resolve open conditions first. Red: suspend the affected transfer or use.</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2">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What follows a Yellow decision?</w:t>
            </w:r>
          </w:p>
          <w:p w:rsidR="00000000" w:rsidDel="00000000" w:rsidP="00000000" w:rsidRDefault="00000000" w:rsidRPr="00000000" w14:paraId="00000083">
            <w:pPr>
              <w:spacing w:after="0" w:line="276" w:lineRule="auto"/>
              <w:rPr>
                <w:color w:val="1d272c"/>
              </w:rPr>
            </w:pPr>
            <w:r w:rsidDel="00000000" w:rsidR="00000000" w:rsidRPr="00000000">
              <w:rPr>
                <w:color w:val="1d272c"/>
                <w:rtl w:val="0"/>
              </w:rPr>
              <w:t xml:space="preserve">Assign the open issue, evidence, owner and deadline; resolve it before proceeding.</w:t>
            </w:r>
          </w:p>
        </w:tc>
      </w:tr>
    </w:tbl>
    <w:p w:rsidR="00000000" w:rsidDel="00000000" w:rsidP="00000000" w:rsidRDefault="00000000" w:rsidRPr="00000000" w14:paraId="00000084">
      <w:pPr>
        <w:spacing w:after="0" w:line="276" w:lineRule="auto"/>
        <w:rPr>
          <w:sz w:val="4"/>
          <w:szCs w:val="4"/>
        </w:rPr>
      </w:pPr>
      <w:r w:rsidDel="00000000" w:rsidR="00000000" w:rsidRPr="00000000">
        <w:rPr>
          <w:sz w:val="4"/>
          <w:szCs w:val="4"/>
          <w:rtl w:val="0"/>
        </w:rPr>
        <w:t xml:space="preserve"> </w:t>
      </w:r>
    </w:p>
    <w:tbl>
      <w:tblPr>
        <w:tblStyle w:val="Table2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85">
            <w:pPr>
              <w:spacing w:after="0" w:line="276" w:lineRule="auto"/>
              <w:rPr>
                <w:b w:val="1"/>
                <w:bCs w:val="1"/>
                <w:color w:val="006b73"/>
              </w:rPr>
            </w:pPr>
            <w:r w:rsidDel="00000000" w:rsidR="00000000" w:rsidRPr="00000000">
              <w:rPr>
                <w:b w:val="1"/>
                <w:bCs w:val="1"/>
                <w:color w:val="006b73"/>
                <w:rtl w:val="0"/>
              </w:rPr>
              <w:t xml:space="preserve">FORMALISATION &amp; RECORDS</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7">
            <w:pPr>
              <w:spacing w:after="20" w:line="276" w:lineRule="auto"/>
              <w:rPr>
                <w:b w:val="1"/>
                <w:bCs w:val="1"/>
                <w:color w:val="005b66"/>
              </w:rPr>
            </w:pPr>
            <w:r w:rsidDel="00000000" w:rsidR="00000000" w:rsidRPr="00000000">
              <w:rPr>
                <w:b w:val="1"/>
                <w:bCs w:val="1"/>
                <w:color w:val="005b66"/>
                <w:rtl w:val="0"/>
              </w:rPr>
              <w:t xml:space="preserve">When should cooperation be formalised?</w:t>
            </w:r>
          </w:p>
          <w:p w:rsidR="00000000" w:rsidDel="00000000" w:rsidP="00000000" w:rsidRDefault="00000000" w:rsidRPr="00000000" w14:paraId="00000088">
            <w:pPr>
              <w:spacing w:after="0" w:line="276" w:lineRule="auto"/>
              <w:rPr>
                <w:color w:val="1d272c"/>
                <w:sz w:val="17"/>
                <w:szCs w:val="17"/>
              </w:rPr>
            </w:pPr>
            <w:r w:rsidDel="00000000" w:rsidR="00000000" w:rsidRPr="00000000">
              <w:rPr>
                <w:color w:val="1d272c"/>
                <w:sz w:val="17"/>
                <w:szCs w:val="17"/>
                <w:rtl w:val="0"/>
              </w:rPr>
              <w:t xml:space="preserve">After the test, once material conditions, responsibilities and necessary reviews are settled.</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9">
            <w:pPr>
              <w:spacing w:after="20" w:line="276" w:lineRule="auto"/>
              <w:rPr>
                <w:b w:val="1"/>
                <w:bCs w:val="1"/>
                <w:color w:val="005b66"/>
              </w:rPr>
            </w:pPr>
            <w:r w:rsidDel="00000000" w:rsidR="00000000" w:rsidRPr="00000000">
              <w:rPr>
                <w:b w:val="1"/>
                <w:bCs w:val="1"/>
                <w:color w:val="005b66"/>
                <w:rtl w:val="0"/>
              </w:rPr>
              <w:t xml:space="preserve">Which records should be kept?</w:t>
            </w:r>
          </w:p>
          <w:p w:rsidR="00000000" w:rsidDel="00000000" w:rsidP="00000000" w:rsidRDefault="00000000" w:rsidRPr="00000000" w14:paraId="0000008A">
            <w:pPr>
              <w:spacing w:after="0" w:line="276" w:lineRule="auto"/>
              <w:rPr>
                <w:color w:val="1d272c"/>
                <w:sz w:val="17"/>
                <w:szCs w:val="17"/>
              </w:rPr>
            </w:pPr>
            <w:r w:rsidDel="00000000" w:rsidR="00000000" w:rsidRPr="00000000">
              <w:rPr>
                <w:color w:val="1d272c"/>
                <w:sz w:val="17"/>
                <w:szCs w:val="17"/>
                <w:rtl w:val="0"/>
              </w:rPr>
              <w:t xml:space="preserve">Material/status sheet, delivery checks, test results, problem and fallback notes, revisions and signed text if used.</w:t>
            </w:r>
          </w:p>
        </w:tc>
      </w:tr>
    </w:tbl>
    <w:p w:rsidR="00000000" w:rsidDel="00000000" w:rsidP="00000000" w:rsidRDefault="00000000" w:rsidRPr="00000000" w14:paraId="0000008B">
      <w:pPr>
        <w:spacing w:after="0" w:line="276" w:lineRule="auto"/>
        <w:rPr>
          <w:sz w:val="4"/>
          <w:szCs w:val="4"/>
        </w:rPr>
      </w:pPr>
      <w:r w:rsidDel="00000000" w:rsidR="00000000" w:rsidRPr="00000000">
        <w:rPr>
          <w:sz w:val="4"/>
          <w:szCs w:val="4"/>
          <w:rtl w:val="0"/>
        </w:rPr>
        <w:t xml:space="preserve"> </w:t>
      </w:r>
    </w:p>
    <w:p w:rsidR="00000000" w:rsidDel="00000000" w:rsidP="00000000" w:rsidRDefault="00000000" w:rsidRPr="00000000" w14:paraId="0000008C">
      <w:pPr>
        <w:spacing w:after="40" w:line="276" w:lineRule="auto"/>
        <w:rPr>
          <w:color w:val="005b66"/>
          <w:sz w:val="15"/>
          <w:szCs w:val="15"/>
        </w:rPr>
      </w:pPr>
      <w:r w:rsidDel="00000000" w:rsidR="00000000" w:rsidRPr="00000000">
        <w:rPr>
          <w:rtl w:val="0"/>
        </w:rPr>
      </w:r>
    </w:p>
    <w:p w:rsidR="00000000" w:rsidDel="00000000" w:rsidP="00000000" w:rsidRDefault="00000000" w:rsidRPr="00000000" w14:paraId="0000008D">
      <w:pPr>
        <w:spacing w:after="40" w:line="276" w:lineRule="auto"/>
        <w:rPr>
          <w:color w:val="005b66"/>
          <w:sz w:val="15"/>
          <w:szCs w:val="15"/>
        </w:rPr>
      </w:pPr>
      <w:r w:rsidDel="00000000" w:rsidR="00000000" w:rsidRPr="00000000">
        <w:rPr>
          <w:b w:val="1"/>
          <w:bCs w:val="1"/>
          <w:color w:val="f36c21"/>
          <w:sz w:val="15"/>
          <w:szCs w:val="15"/>
          <w:rtl w:val="0"/>
        </w:rPr>
        <w:t xml:space="preserve">*** Solution 3 - </w:t>
      </w:r>
      <w:r w:rsidDel="00000000" w:rsidR="00000000" w:rsidRPr="00000000">
        <w:rPr>
          <w:color w:val="005b66"/>
          <w:sz w:val="15"/>
          <w:szCs w:val="15"/>
          <w:rtl w:val="0"/>
        </w:rPr>
        <w:t xml:space="preserve">One solution for the collaborations between Industry and Handicraft for the re-use/recycling of waste</w:t>
      </w:r>
    </w:p>
    <w:p w:rsidR="00000000" w:rsidDel="00000000" w:rsidP="00000000" w:rsidRDefault="00000000" w:rsidRPr="00000000" w14:paraId="0000008E">
      <w:pPr>
        <w:rPr/>
        <w:sectPr>
          <w:headerReference r:id="rId13" w:type="default"/>
          <w:footerReference r:id="rId14" w:type="default"/>
          <w:pgSz w:h="16838" w:w="11905" w:orient="portrait"/>
          <w:pgMar w:bottom="605" w:top="806" w:left="893" w:right="893" w:header="360" w:footer="360"/>
          <w:pgNumType w:start="1"/>
          <w:titlePg w:val="1"/>
        </w:sect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2"/>
        <w:tblW w:w="2260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608"/>
        <w:tblGridChange w:id="0">
          <w:tblGrid>
            <w:gridCol w:w="22608"/>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90">
            <w:pPr>
              <w:rPr/>
            </w:pPr>
            <w:r w:rsidDel="00000000" w:rsidR="00000000" w:rsidRPr="00000000">
              <w:rPr>
                <w:b w:val="1"/>
                <w:bCs w:val="1"/>
                <w:color w:val="ffffff"/>
                <w:sz w:val="26"/>
                <w:szCs w:val="26"/>
                <w:rtl w:val="0"/>
              </w:rPr>
              <w:t xml:space="preserve">SYSTEM MAP</w:t>
            </w:r>
            <w:r w:rsidDel="00000000" w:rsidR="00000000" w:rsidRPr="00000000">
              <w:rPr>
                <w:color w:val="dcecee"/>
                <w:rtl w:val="0"/>
              </w:rPr>
              <w:t xml:space="preserve">  Solution 3 • cooperation pathway, readiness decisions and supporting tools</w:t>
            </w:r>
            <w:r w:rsidDel="00000000" w:rsidR="00000000" w:rsidRPr="00000000">
              <w:rPr>
                <w:rtl w:val="0"/>
              </w:rPr>
            </w:r>
          </w:p>
        </w:tc>
      </w:tr>
    </w:tbl>
    <w:p w:rsidR="00000000" w:rsidDel="00000000" w:rsidP="00000000" w:rsidRDefault="00000000" w:rsidRPr="00000000" w14:paraId="00000091">
      <w:pPr>
        <w:spacing w:after="0" w:before="80" w:lineRule="auto"/>
        <w:jc w:val="center"/>
        <w:rPr>
          <w:b w:val="1"/>
          <w:bCs w:val="1"/>
          <w:color w:val="f36c21"/>
          <w:sz w:val="16"/>
          <w:szCs w:val="16"/>
        </w:rPr>
      </w:pPr>
      <w:r w:rsidDel="00000000" w:rsidR="00000000" w:rsidRPr="00000000">
        <w:rPr/>
        <w:drawing>
          <wp:inline distB="0" distT="0" distL="0" distR="0">
            <wp:extent cx="8684325" cy="6127103"/>
            <wp:effectExtent b="0" l="0" r="0" t="0"/>
            <wp:docPr id="9"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8684325" cy="6127103"/>
                    </a:xfrm>
                    <a:prstGeom prst="rect"/>
                    <a:ln/>
                  </pic:spPr>
                </pic:pic>
              </a:graphicData>
            </a:graphic>
          </wp:inline>
        </w:drawing>
      </w:r>
      <w:r w:rsidDel="00000000" w:rsidR="00000000" w:rsidRPr="00000000">
        <w:rPr>
          <w:rtl w:val="0"/>
        </w:rPr>
      </w:r>
    </w:p>
    <w:sectPr>
      <w:type w:val="continuous"/>
      <w:pgSz w:h="11905" w:w="16838" w:orient="landscape"/>
      <w:pgMar w:bottom="605" w:top="605" w:left="605" w:right="605" w:header="259" w:footer="25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5d6970"/>
        <w:sz w:val="16"/>
        <w:szCs w:val="16"/>
        <w:u w:val="none"/>
        <w:shd w:fill="auto" w:val="clear"/>
        <w:vertAlign w:val="baseline"/>
        <w:rtl w:val="0"/>
      </w:rPr>
      <w:t xml:space="preserve">SYMCRAFT  •  CE0200732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5b66"/>
        <w:sz w:val="16"/>
        <w:szCs w:val="16"/>
        <w:u w:val="none"/>
        <w:shd w:fill="auto" w:val="clear"/>
        <w:vertAlign w:val="baseline"/>
        <w:rtl w:val="0"/>
      </w:rPr>
      <w:t xml:space="preserve">SYMCRAFT  |  SOLUTION 3  |  REPLICATION GUIDELINE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8"/>
        <w:szCs w:val="18"/>
        <w:lang w:val="en"/>
      </w:rPr>
    </w:rPrDefault>
    <w:pPrDefault>
      <w:pPr>
        <w:spacing w:after="8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120" w:lineRule="auto"/>
    </w:pPr>
    <w:rPr>
      <w:rFonts w:ascii="Calibri" w:cs="Calibri" w:eastAsia="Calibri" w:hAnsi="Calibri"/>
      <w:b w:val="1"/>
      <w:bCs w:val="1"/>
      <w:color w:val="005b66"/>
      <w:sz w:val="32"/>
      <w:szCs w:val="32"/>
    </w:rPr>
  </w:style>
  <w:style w:type="paragraph" w:styleId="Heading2">
    <w:name w:val="heading 2"/>
    <w:basedOn w:val="Normal"/>
    <w:next w:val="Normal"/>
    <w:pPr>
      <w:keepNext w:val="1"/>
      <w:keepLines w:val="1"/>
      <w:spacing w:after="60" w:before="100" w:lineRule="auto"/>
    </w:pPr>
    <w:rPr>
      <w:rFonts w:ascii="Calibri" w:cs="Calibri" w:eastAsia="Calibri" w:hAnsi="Calibri"/>
      <w:b w:val="1"/>
      <w:bCs w:val="1"/>
      <w:color w:val="123c56"/>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60" w:line="240" w:lineRule="auto"/>
    </w:pPr>
    <w:rPr>
      <w:rFonts w:ascii="Calibri" w:cs="Calibri" w:eastAsia="Calibri" w:hAnsi="Calibri"/>
      <w:b w:val="1"/>
      <w:bCs w:val="1"/>
      <w:color w:val="005b66"/>
      <w:sz w:val="60"/>
      <w:szCs w:val="60"/>
    </w:rPr>
  </w:style>
  <w:style w:type="paragraph" w:styleId="Nadpis7">
    <w:name w:val="heading 7"/>
    <w:basedOn w:val="Normlny"/>
    <w:next w:val="Normlny"/>
    <w:link w:val="Nadpis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Nadpis8">
    <w:name w:val="heading 8"/>
    <w:basedOn w:val="Normlny"/>
    <w:next w:val="Normlny"/>
    <w:link w:val="Nadpis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Nadpis9">
    <w:name w:val="heading 9"/>
    <w:basedOn w:val="Normlny"/>
    <w:next w:val="Normlny"/>
    <w:link w:val="Nadpis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paragraph" w:styleId="Hlavika">
    <w:name w:val="header"/>
    <w:basedOn w:val="Normlny"/>
    <w:link w:val="HlavikaChar"/>
    <w:uiPriority w:val="99"/>
    <w:unhideWhenUsed w:val="1"/>
    <w:rsid w:val="00E618BF"/>
    <w:pPr>
      <w:tabs>
        <w:tab w:val="center" w:pos="4680"/>
        <w:tab w:val="right" w:pos="9360"/>
      </w:tabs>
      <w:spacing w:after="0" w:line="240" w:lineRule="auto"/>
    </w:pPr>
  </w:style>
  <w:style w:type="character" w:styleId="HlavikaChar" w:customStyle="1">
    <w:name w:val="Hlavička Char"/>
    <w:basedOn w:val="Predvolenpsmoodseku"/>
    <w:link w:val="Hlavika"/>
    <w:uiPriority w:val="99"/>
    <w:rsid w:val="00E618BF"/>
  </w:style>
  <w:style w:type="paragraph" w:styleId="Pta">
    <w:name w:val="footer"/>
    <w:basedOn w:val="Normlny"/>
    <w:link w:val="PtaChar"/>
    <w:uiPriority w:val="99"/>
    <w:unhideWhenUsed w:val="1"/>
    <w:rsid w:val="00E618BF"/>
    <w:pPr>
      <w:tabs>
        <w:tab w:val="center" w:pos="4680"/>
        <w:tab w:val="right" w:pos="9360"/>
      </w:tabs>
      <w:spacing w:after="0" w:line="240" w:lineRule="auto"/>
    </w:pPr>
  </w:style>
  <w:style w:type="character" w:styleId="PtaChar" w:customStyle="1">
    <w:name w:val="Päta Char"/>
    <w:basedOn w:val="Predvolenpsmoodseku"/>
    <w:link w:val="Pta"/>
    <w:uiPriority w:val="99"/>
    <w:rsid w:val="00E618BF"/>
  </w:style>
  <w:style w:type="paragraph" w:styleId="Bezriadkovania">
    <w:name w:val="No Spacing"/>
    <w:uiPriority w:val="1"/>
    <w:qFormat w:val="1"/>
    <w:rsid w:val="00FC693F"/>
    <w:pPr>
      <w:spacing w:after="0" w:line="240" w:lineRule="auto"/>
    </w:pPr>
  </w:style>
  <w:style w:type="character" w:styleId="Nadpis1Char" w:customStyle="1">
    <w:name w:val="Nadpis 1 Char"/>
    <w:basedOn w:val="Predvolenpsmoodseku"/>
    <w:link w:val="Nadpis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Nadpis2Char" w:customStyle="1">
    <w:name w:val="Nadpis 2 Char"/>
    <w:basedOn w:val="Predvolenpsmoodseku"/>
    <w:link w:val="Nadpis2"/>
    <w:uiPriority w:val="9"/>
    <w:rsid w:val="00FC693F"/>
    <w:rPr>
      <w:rFonts w:asciiTheme="majorHAnsi" w:cstheme="majorBidi" w:eastAsiaTheme="majorEastAsia" w:hAnsiTheme="majorHAnsi"/>
      <w:b w:val="1"/>
      <w:bCs w:val="1"/>
      <w:color w:val="4f81bd" w:themeColor="accent1"/>
      <w:sz w:val="26"/>
      <w:szCs w:val="26"/>
    </w:rPr>
  </w:style>
  <w:style w:type="character" w:styleId="Nadpis3Char" w:customStyle="1">
    <w:name w:val="Nadpis 3 Char"/>
    <w:basedOn w:val="Predvolenpsmoodseku"/>
    <w:link w:val="Nadpis3"/>
    <w:uiPriority w:val="9"/>
    <w:rsid w:val="00FC693F"/>
    <w:rPr>
      <w:rFonts w:asciiTheme="majorHAnsi" w:cstheme="majorBidi" w:eastAsiaTheme="majorEastAsia" w:hAnsiTheme="majorHAnsi"/>
      <w:b w:val="1"/>
      <w:bCs w:val="1"/>
      <w:color w:val="4f81bd" w:themeColor="accent1"/>
    </w:rPr>
  </w:style>
  <w:style w:type="character" w:styleId="NzovChar" w:customStyle="1">
    <w:name w:val="Názov Char"/>
    <w:basedOn w:val="Predvolenpsmoodseku"/>
    <w:link w:val="Nzov"/>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PodtitulChar" w:customStyle="1">
    <w:name w:val="Podtitul Char"/>
    <w:basedOn w:val="Predvolenpsmoodseku"/>
    <w:link w:val="Podtitul"/>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Odsekzoznamu">
    <w:name w:val="List Paragraph"/>
    <w:basedOn w:val="Normlny"/>
    <w:uiPriority w:val="34"/>
    <w:qFormat w:val="1"/>
    <w:rsid w:val="00FC693F"/>
    <w:pPr>
      <w:ind w:left="720"/>
      <w:contextualSpacing w:val="1"/>
    </w:pPr>
  </w:style>
  <w:style w:type="paragraph" w:styleId="Zkladntext">
    <w:name w:val="Body Text"/>
    <w:basedOn w:val="Normlny"/>
    <w:link w:val="ZkladntextChar"/>
    <w:uiPriority w:val="99"/>
    <w:unhideWhenUsed w:val="1"/>
    <w:rsid w:val="00AA1D8D"/>
    <w:pPr>
      <w:spacing w:after="120"/>
    </w:pPr>
  </w:style>
  <w:style w:type="character" w:styleId="ZkladntextChar" w:customStyle="1">
    <w:name w:val="Základný text Char"/>
    <w:basedOn w:val="Predvolenpsmoodseku"/>
    <w:link w:val="Zkladntext"/>
    <w:uiPriority w:val="99"/>
    <w:rsid w:val="00AA1D8D"/>
  </w:style>
  <w:style w:type="paragraph" w:styleId="Zkladntext2">
    <w:name w:val="Body Text 2"/>
    <w:basedOn w:val="Normlny"/>
    <w:link w:val="Zkladntext2Char"/>
    <w:uiPriority w:val="99"/>
    <w:unhideWhenUsed w:val="1"/>
    <w:rsid w:val="00AA1D8D"/>
    <w:pPr>
      <w:spacing w:after="120" w:line="480" w:lineRule="auto"/>
    </w:pPr>
  </w:style>
  <w:style w:type="character" w:styleId="Zkladntext2Char" w:customStyle="1">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val="1"/>
    <w:rsid w:val="00AA1D8D"/>
    <w:pPr>
      <w:spacing w:after="120"/>
    </w:pPr>
    <w:rPr>
      <w:sz w:val="16"/>
      <w:szCs w:val="16"/>
    </w:rPr>
  </w:style>
  <w:style w:type="character" w:styleId="Zkladntext3Char" w:customStyle="1">
    <w:name w:val="Základný text 3 Char"/>
    <w:basedOn w:val="Predvolenpsmoodseku"/>
    <w:link w:val="Zkladntext3"/>
    <w:uiPriority w:val="99"/>
    <w:rsid w:val="00AA1D8D"/>
    <w:rPr>
      <w:sz w:val="16"/>
      <w:szCs w:val="16"/>
    </w:rPr>
  </w:style>
  <w:style w:type="paragraph" w:styleId="Zoznam">
    <w:name w:val="List"/>
    <w:basedOn w:val="Normlny"/>
    <w:uiPriority w:val="99"/>
    <w:unhideWhenUsed w:val="1"/>
    <w:rsid w:val="00AA1D8D"/>
    <w:pPr>
      <w:ind w:left="360" w:hanging="360"/>
      <w:contextualSpacing w:val="1"/>
    </w:pPr>
  </w:style>
  <w:style w:type="paragraph" w:styleId="Zoznam2">
    <w:name w:val="List 2"/>
    <w:basedOn w:val="Normlny"/>
    <w:uiPriority w:val="99"/>
    <w:unhideWhenUsed w:val="1"/>
    <w:rsid w:val="00326F90"/>
    <w:pPr>
      <w:ind w:left="720" w:hanging="360"/>
      <w:contextualSpacing w:val="1"/>
    </w:pPr>
  </w:style>
  <w:style w:type="paragraph" w:styleId="Zoznam3">
    <w:name w:val="List 3"/>
    <w:basedOn w:val="Normlny"/>
    <w:uiPriority w:val="99"/>
    <w:unhideWhenUsed w:val="1"/>
    <w:rsid w:val="00326F90"/>
    <w:pPr>
      <w:ind w:left="1080" w:hanging="360"/>
      <w:contextualSpacing w:val="1"/>
    </w:pPr>
  </w:style>
  <w:style w:type="paragraph" w:styleId="Zoznamsodrkami">
    <w:name w:val="List Bullet"/>
    <w:basedOn w:val="Normlny"/>
    <w:uiPriority w:val="99"/>
    <w:unhideWhenUsed w:val="1"/>
    <w:rsid w:val="00326F90"/>
    <w:pPr>
      <w:numPr>
        <w:numId w:val="1"/>
      </w:numPr>
      <w:contextualSpacing w:val="1"/>
    </w:pPr>
  </w:style>
  <w:style w:type="paragraph" w:styleId="Zoznamsodrkami2">
    <w:name w:val="List Bullet 2"/>
    <w:basedOn w:val="Normlny"/>
    <w:uiPriority w:val="99"/>
    <w:unhideWhenUsed w:val="1"/>
    <w:rsid w:val="00326F90"/>
    <w:pPr>
      <w:numPr>
        <w:numId w:val="2"/>
      </w:numPr>
      <w:contextualSpacing w:val="1"/>
    </w:pPr>
  </w:style>
  <w:style w:type="paragraph" w:styleId="Zoznamsodrkami3">
    <w:name w:val="List Bullet 3"/>
    <w:basedOn w:val="Normlny"/>
    <w:uiPriority w:val="99"/>
    <w:unhideWhenUsed w:val="1"/>
    <w:rsid w:val="00326F90"/>
    <w:pPr>
      <w:numPr>
        <w:numId w:val="3"/>
      </w:numPr>
      <w:contextualSpacing w:val="1"/>
    </w:pPr>
  </w:style>
  <w:style w:type="paragraph" w:styleId="slovanzoznam">
    <w:name w:val="List Number"/>
    <w:basedOn w:val="Normlny"/>
    <w:uiPriority w:val="99"/>
    <w:unhideWhenUsed w:val="1"/>
    <w:rsid w:val="00326F90"/>
    <w:pPr>
      <w:numPr>
        <w:numId w:val="5"/>
      </w:numPr>
      <w:contextualSpacing w:val="1"/>
    </w:pPr>
  </w:style>
  <w:style w:type="paragraph" w:styleId="slovanzoznam2">
    <w:name w:val="List Number 2"/>
    <w:basedOn w:val="Normlny"/>
    <w:uiPriority w:val="99"/>
    <w:unhideWhenUsed w:val="1"/>
    <w:rsid w:val="0029639D"/>
    <w:pPr>
      <w:numPr>
        <w:numId w:val="6"/>
      </w:numPr>
      <w:contextualSpacing w:val="1"/>
    </w:pPr>
  </w:style>
  <w:style w:type="paragraph" w:styleId="slovanzoznam3">
    <w:name w:val="List Number 3"/>
    <w:basedOn w:val="Normlny"/>
    <w:uiPriority w:val="99"/>
    <w:unhideWhenUsed w:val="1"/>
    <w:rsid w:val="0029639D"/>
    <w:pPr>
      <w:numPr>
        <w:numId w:val="7"/>
      </w:numPr>
      <w:contextualSpacing w:val="1"/>
    </w:pPr>
  </w:style>
  <w:style w:type="paragraph" w:styleId="Pokraovaniezoznamu">
    <w:name w:val="List Continue"/>
    <w:basedOn w:val="Normlny"/>
    <w:uiPriority w:val="99"/>
    <w:unhideWhenUsed w:val="1"/>
    <w:rsid w:val="0029639D"/>
    <w:pPr>
      <w:spacing w:after="120"/>
      <w:ind w:left="360"/>
      <w:contextualSpacing w:val="1"/>
    </w:pPr>
  </w:style>
  <w:style w:type="paragraph" w:styleId="Pokraovaniezoznamu2">
    <w:name w:val="List Continue 2"/>
    <w:basedOn w:val="Normlny"/>
    <w:uiPriority w:val="99"/>
    <w:unhideWhenUsed w:val="1"/>
    <w:rsid w:val="0029639D"/>
    <w:pPr>
      <w:spacing w:after="120"/>
      <w:ind w:left="720"/>
      <w:contextualSpacing w:val="1"/>
    </w:pPr>
  </w:style>
  <w:style w:type="paragraph" w:styleId="Pokraovaniezoznamu3">
    <w:name w:val="List Continue 3"/>
    <w:basedOn w:val="Normlny"/>
    <w:uiPriority w:val="99"/>
    <w:unhideWhenUsed w:val="1"/>
    <w:rsid w:val="0029639D"/>
    <w:pPr>
      <w:spacing w:after="120"/>
      <w:ind w:left="1080"/>
      <w:contextualSpacing w:val="1"/>
    </w:pPr>
  </w:style>
  <w:style w:type="paragraph" w:styleId="Textmakra">
    <w:name w:val="macro"/>
    <w:link w:val="Textmakra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makraChar" w:customStyle="1">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val="1"/>
    <w:rsid w:val="00FC693F"/>
    <w:rPr>
      <w:i w:val="1"/>
      <w:iCs w:val="1"/>
      <w:color w:val="000000" w:themeColor="text1"/>
    </w:rPr>
  </w:style>
  <w:style w:type="character" w:styleId="CitciaChar" w:customStyle="1">
    <w:name w:val="Citácia Char"/>
    <w:basedOn w:val="Predvolenpsmoodseku"/>
    <w:link w:val="Citcia"/>
    <w:uiPriority w:val="29"/>
    <w:rsid w:val="00FC693F"/>
    <w:rPr>
      <w:i w:val="1"/>
      <w:iCs w:val="1"/>
      <w:color w:val="000000" w:themeColor="text1"/>
    </w:rPr>
  </w:style>
  <w:style w:type="character" w:styleId="Nadpis4Char" w:customStyle="1">
    <w:name w:val="Nadpis 4 Char"/>
    <w:basedOn w:val="Predvolenpsmoodseku"/>
    <w:link w:val="Nadpis4"/>
    <w:uiPriority w:val="9"/>
    <w:semiHidden w:val="1"/>
    <w:rsid w:val="00FC693F"/>
    <w:rPr>
      <w:rFonts w:asciiTheme="majorHAnsi" w:cstheme="majorBidi" w:eastAsiaTheme="majorEastAsia" w:hAnsiTheme="majorHAnsi"/>
      <w:b w:val="1"/>
      <w:bCs w:val="1"/>
      <w:i w:val="1"/>
      <w:iCs w:val="1"/>
      <w:color w:val="4f81bd" w:themeColor="accent1"/>
    </w:rPr>
  </w:style>
  <w:style w:type="character" w:styleId="Nadpis5Char" w:customStyle="1">
    <w:name w:val="Nadpis 5 Char"/>
    <w:basedOn w:val="Predvolenpsmoodseku"/>
    <w:link w:val="Nadpis5"/>
    <w:uiPriority w:val="9"/>
    <w:semiHidden w:val="1"/>
    <w:rsid w:val="00FC693F"/>
    <w:rPr>
      <w:rFonts w:asciiTheme="majorHAnsi" w:cstheme="majorBidi" w:eastAsiaTheme="majorEastAsia" w:hAnsiTheme="majorHAnsi"/>
      <w:color w:val="243f60" w:themeColor="accent1" w:themeShade="00007F"/>
    </w:rPr>
  </w:style>
  <w:style w:type="character" w:styleId="Nadpis6Char" w:customStyle="1">
    <w:name w:val="Nadpis 6 Char"/>
    <w:basedOn w:val="Predvolenpsmoodseku"/>
    <w:link w:val="Nadpis6"/>
    <w:uiPriority w:val="9"/>
    <w:semiHidden w:val="1"/>
    <w:rsid w:val="00FC693F"/>
    <w:rPr>
      <w:rFonts w:asciiTheme="majorHAnsi" w:cstheme="majorBidi" w:eastAsiaTheme="majorEastAsia" w:hAnsiTheme="majorHAnsi"/>
      <w:i w:val="1"/>
      <w:iCs w:val="1"/>
      <w:color w:val="243f60" w:themeColor="accent1" w:themeShade="00007F"/>
    </w:rPr>
  </w:style>
  <w:style w:type="character" w:styleId="Nadpis7Char" w:customStyle="1">
    <w:name w:val="Nadpis 7 Char"/>
    <w:basedOn w:val="Predvolenpsmoodseku"/>
    <w:link w:val="Nadpis7"/>
    <w:uiPriority w:val="9"/>
    <w:semiHidden w:val="1"/>
    <w:rsid w:val="00FC693F"/>
    <w:rPr>
      <w:rFonts w:asciiTheme="majorHAnsi" w:cstheme="majorBidi" w:eastAsiaTheme="majorEastAsia" w:hAnsiTheme="majorHAnsi"/>
      <w:i w:val="1"/>
      <w:iCs w:val="1"/>
      <w:color w:val="404040" w:themeColor="text1" w:themeTint="0000BF"/>
    </w:rPr>
  </w:style>
  <w:style w:type="character" w:styleId="Nadpis8Char" w:customStyle="1">
    <w:name w:val="Nadpis 8 Char"/>
    <w:basedOn w:val="Predvolenpsmoodseku"/>
    <w:link w:val="Nadpis8"/>
    <w:uiPriority w:val="9"/>
    <w:semiHidden w:val="1"/>
    <w:rsid w:val="00FC693F"/>
    <w:rPr>
      <w:rFonts w:asciiTheme="majorHAnsi" w:cstheme="majorBidi" w:eastAsiaTheme="majorEastAsia" w:hAnsiTheme="majorHAnsi"/>
      <w:color w:val="4f81bd" w:themeColor="accent1"/>
      <w:sz w:val="20"/>
      <w:szCs w:val="20"/>
    </w:rPr>
  </w:style>
  <w:style w:type="character" w:styleId="Nadpis9Char" w:customStyle="1">
    <w:name w:val="Nadpis 9 Char"/>
    <w:basedOn w:val="Predvolenpsmoodseku"/>
    <w:link w:val="Nadpis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Popis">
    <w:name w:val="caption"/>
    <w:basedOn w:val="Normlny"/>
    <w:next w:val="Normlny"/>
    <w:uiPriority w:val="35"/>
    <w:semiHidden w:val="1"/>
    <w:unhideWhenUsed w:val="1"/>
    <w:qFormat w:val="1"/>
    <w:rsid w:val="00FC693F"/>
    <w:pPr>
      <w:spacing w:line="240" w:lineRule="auto"/>
    </w:pPr>
    <w:rPr>
      <w:b w:val="1"/>
      <w:bCs w:val="1"/>
      <w:color w:val="4f81bd" w:themeColor="accent1"/>
      <w:szCs w:val="18"/>
    </w:rPr>
  </w:style>
  <w:style w:type="character" w:styleId="Vrazn">
    <w:name w:val="Strong"/>
    <w:basedOn w:val="Predvolenpsmoodseku"/>
    <w:uiPriority w:val="22"/>
    <w:qFormat w:val="1"/>
    <w:rsid w:val="00FC693F"/>
    <w:rPr>
      <w:b w:val="1"/>
      <w:bCs w:val="1"/>
    </w:rPr>
  </w:style>
  <w:style w:type="character" w:styleId="Zvraznenie">
    <w:name w:val="Emphasis"/>
    <w:basedOn w:val="Predvolenpsmoodseku"/>
    <w:uiPriority w:val="20"/>
    <w:qFormat w:val="1"/>
    <w:rsid w:val="00FC693F"/>
    <w:rPr>
      <w:i w:val="1"/>
      <w:iCs w:val="1"/>
    </w:rPr>
  </w:style>
  <w:style w:type="paragraph" w:styleId="Zvraznencitcia">
    <w:name w:val="Intense Quote"/>
    <w:basedOn w:val="Normlny"/>
    <w:next w:val="Normlny"/>
    <w:link w:val="Zvraznencitcia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ZvraznencitciaChar" w:customStyle="1">
    <w:name w:val="Zvýraznená citácia Char"/>
    <w:basedOn w:val="Predvolenpsmoodseku"/>
    <w:link w:val="Zvraznencitcia"/>
    <w:uiPriority w:val="30"/>
    <w:rsid w:val="00FC693F"/>
    <w:rPr>
      <w:b w:val="1"/>
      <w:bCs w:val="1"/>
      <w:i w:val="1"/>
      <w:iCs w:val="1"/>
      <w:color w:val="4f81bd" w:themeColor="accent1"/>
    </w:rPr>
  </w:style>
  <w:style w:type="character" w:styleId="Jemnzvraznenie">
    <w:name w:val="Subtle Emphasis"/>
    <w:basedOn w:val="Predvolenpsmoodseku"/>
    <w:uiPriority w:val="19"/>
    <w:qFormat w:val="1"/>
    <w:rsid w:val="00FC693F"/>
    <w:rPr>
      <w:i w:val="1"/>
      <w:iCs w:val="1"/>
      <w:color w:val="808080" w:themeColor="text1" w:themeTint="00007F"/>
    </w:rPr>
  </w:style>
  <w:style w:type="character" w:styleId="Intenzvnezvraznenie">
    <w:name w:val="Intense Emphasis"/>
    <w:basedOn w:val="Predvolenpsmoodseku"/>
    <w:uiPriority w:val="21"/>
    <w:qFormat w:val="1"/>
    <w:rsid w:val="00FC693F"/>
    <w:rPr>
      <w:b w:val="1"/>
      <w:bCs w:val="1"/>
      <w:i w:val="1"/>
      <w:iCs w:val="1"/>
      <w:color w:val="4f81bd" w:themeColor="accent1"/>
    </w:rPr>
  </w:style>
  <w:style w:type="character" w:styleId="Jemnodkaz">
    <w:name w:val="Subtle Reference"/>
    <w:basedOn w:val="Predvolenpsmoodseku"/>
    <w:uiPriority w:val="31"/>
    <w:qFormat w:val="1"/>
    <w:rsid w:val="00FC693F"/>
    <w:rPr>
      <w:smallCaps w:val="1"/>
      <w:color w:val="c0504d" w:themeColor="accent2"/>
      <w:u w:val="single"/>
    </w:rPr>
  </w:style>
  <w:style w:type="character" w:styleId="Zvraznenodkaz">
    <w:name w:val="Intense Reference"/>
    <w:basedOn w:val="Predvolenpsmoodseku"/>
    <w:uiPriority w:val="32"/>
    <w:qFormat w:val="1"/>
    <w:rsid w:val="00FC693F"/>
    <w:rPr>
      <w:b w:val="1"/>
      <w:bCs w:val="1"/>
      <w:smallCaps w:val="1"/>
      <w:color w:val="c0504d" w:themeColor="accent2"/>
      <w:spacing w:val="5"/>
      <w:u w:val="single"/>
    </w:rPr>
  </w:style>
  <w:style w:type="character" w:styleId="Nzovknihy">
    <w:name w:val="Book Title"/>
    <w:basedOn w:val="Predvolenpsmoodseku"/>
    <w:uiPriority w:val="33"/>
    <w:qFormat w:val="1"/>
    <w:rsid w:val="00FC693F"/>
    <w:rPr>
      <w:b w:val="1"/>
      <w:bCs w:val="1"/>
      <w:smallCaps w:val="1"/>
      <w:spacing w:val="5"/>
    </w:rPr>
  </w:style>
  <w:style w:type="paragraph" w:styleId="Hlavikaobsahu">
    <w:name w:val="TOC Heading"/>
    <w:basedOn w:val="Nadpis1"/>
    <w:next w:val="Normlny"/>
    <w:uiPriority w:val="39"/>
    <w:semiHidden w:val="1"/>
    <w:unhideWhenUsed w:val="1"/>
    <w:qFormat w:val="1"/>
    <w:rsid w:val="00FC693F"/>
    <w:pPr>
      <w:outlineLvl w:val="9"/>
    </w:pPr>
  </w:style>
  <w:style w:type="table" w:styleId="Mriekatabuky">
    <w:name w:val="Table Grid"/>
    <w:basedOn w:val="Normlnatabuka"/>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vetlpodfarbenie">
    <w:name w:val="Light Shading"/>
    <w:basedOn w:val="Normlnatabuka"/>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Svetlzoznam">
    <w:name w:val="Light List"/>
    <w:basedOn w:val="Normlnatabuka"/>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Strednzoznam2">
    <w:name w:val="Medium List 2"/>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Strednmrieka2">
    <w:name w:val="Medium Grid 2"/>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Strednmrieka2zvraznenie1">
    <w:name w:val="Medium Grid 2 Accent 1"/>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Strednmrieka2zvraznenie2">
    <w:name w:val="Medium Grid 2 Accent 2"/>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Strednmrieka2zvraznenie3">
    <w:name w:val="Medium Grid 2 Accent 3"/>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Strednmrieka2zvraznenie4">
    <w:name w:val="Medium Grid 2 Accent 4"/>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Strednmrieka2zvraznenie5">
    <w:name w:val="Medium Grid 2 Accent 5"/>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Strednmrieka2zvraznenie6">
    <w:name w:val="Medium Grid 2 Accent 6"/>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IUuy-pImYHSD6DQQtw4Tf1c_PBlXpv28/view?usp=drive_link" TargetMode="External"/><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hyperlink" Target="https://drive.google.com/file/d/1IUuy-pImYHSD6DQQtw4Tf1c_PBlXpv28/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4.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84vmxm7ara/RNVNejUoYgBaLLQ==">CgMxLjAaHQoBMBIYChYIB0ISEhBBcmlhbCBVbmljb2RlIE1TGh0KATESGAoWCAdCEhIQQXJpYWwgVW5pY29kZSBNUxodCgEyEhgKFggHQhISEEFyaWFsIFVuaWNvZGUgTVMaHQoBMxIYChYIB0ISEhBBcmlhbCBVbmljb2RlIE1TGh0KATQSGAoWCAdCEhIQQXJpYWwgVW5pY29kZSBNUzgAciExQy1rS3ozWnBWbHVYeDQ3dVdkSzlsUzJTOU1UVFhTTmo=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2026-09-06T09:51:00Z</dcterms:created>
  <dc:creator>python-docx</dc:creator>
</cp:coreProperties>
</file>